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0D52" w14:textId="56FB472C" w:rsidR="00264C98" w:rsidRPr="00011504" w:rsidRDefault="00B83766" w:rsidP="00B83766">
      <w:pPr>
        <w:jc w:val="center"/>
      </w:pPr>
      <w:r w:rsidRPr="00011504">
        <w:t>Comunicato stampa</w:t>
      </w:r>
    </w:p>
    <w:p w14:paraId="49F83740" w14:textId="528088E2" w:rsidR="00264C98" w:rsidRPr="00011504" w:rsidRDefault="00622ACC" w:rsidP="00F8776D">
      <w:pPr>
        <w:jc w:val="both"/>
        <w:rPr>
          <w:b/>
          <w:bCs/>
          <w:sz w:val="24"/>
          <w:szCs w:val="24"/>
        </w:rPr>
      </w:pPr>
      <w:r w:rsidRPr="00011504">
        <w:rPr>
          <w:b/>
          <w:bCs/>
          <w:sz w:val="24"/>
          <w:szCs w:val="24"/>
        </w:rPr>
        <w:t xml:space="preserve">VINO E RISTORAZIONE: </w:t>
      </w:r>
      <w:r w:rsidR="005330AE" w:rsidRPr="00011504">
        <w:rPr>
          <w:b/>
          <w:bCs/>
          <w:sz w:val="24"/>
          <w:szCs w:val="24"/>
        </w:rPr>
        <w:t xml:space="preserve">I CONSUMI VALGONO </w:t>
      </w:r>
      <w:r w:rsidR="00AE2D02" w:rsidRPr="00011504">
        <w:rPr>
          <w:b/>
          <w:bCs/>
          <w:sz w:val="24"/>
          <w:szCs w:val="24"/>
        </w:rPr>
        <w:t>1</w:t>
      </w:r>
      <w:r w:rsidR="005330AE" w:rsidRPr="00011504">
        <w:rPr>
          <w:b/>
          <w:bCs/>
          <w:sz w:val="24"/>
          <w:szCs w:val="24"/>
        </w:rPr>
        <w:t xml:space="preserve">2 MILIARDI DI EURO L’ANNO. </w:t>
      </w:r>
      <w:r w:rsidR="00F8776D" w:rsidRPr="00011504">
        <w:rPr>
          <w:b/>
          <w:bCs/>
          <w:sz w:val="24"/>
          <w:szCs w:val="24"/>
        </w:rPr>
        <w:t xml:space="preserve">CALANO SPESA E VOLUMI, </w:t>
      </w:r>
      <w:r w:rsidR="005330AE" w:rsidRPr="00011504">
        <w:rPr>
          <w:b/>
          <w:bCs/>
          <w:sz w:val="24"/>
          <w:szCs w:val="24"/>
        </w:rPr>
        <w:t xml:space="preserve">IL FUTURO </w:t>
      </w:r>
      <w:r w:rsidR="00F8776D" w:rsidRPr="00011504">
        <w:rPr>
          <w:b/>
          <w:bCs/>
          <w:sz w:val="24"/>
          <w:szCs w:val="24"/>
        </w:rPr>
        <w:t>VEDE VINI PIÙ LEGGERI</w:t>
      </w:r>
    </w:p>
    <w:p w14:paraId="07107729" w14:textId="6D3EAF3B" w:rsidR="00DC65A3" w:rsidRPr="00011504" w:rsidRDefault="00384426" w:rsidP="00F8776D">
      <w:pPr>
        <w:jc w:val="both"/>
        <w:rPr>
          <w:b/>
          <w:bCs/>
          <w:sz w:val="24"/>
          <w:szCs w:val="24"/>
        </w:rPr>
      </w:pPr>
      <w:r w:rsidRPr="00011504">
        <w:rPr>
          <w:b/>
          <w:bCs/>
          <w:sz w:val="24"/>
          <w:szCs w:val="24"/>
        </w:rPr>
        <w:t>NASCE</w:t>
      </w:r>
      <w:r w:rsidR="00DC65A3" w:rsidRPr="00011504">
        <w:rPr>
          <w:b/>
          <w:bCs/>
          <w:sz w:val="24"/>
          <w:szCs w:val="24"/>
        </w:rPr>
        <w:t xml:space="preserve"> </w:t>
      </w:r>
      <w:r w:rsidR="005A5B1F" w:rsidRPr="00011504">
        <w:rPr>
          <w:b/>
          <w:bCs/>
          <w:sz w:val="24"/>
          <w:szCs w:val="24"/>
        </w:rPr>
        <w:t>L’OSSERVATORIO</w:t>
      </w:r>
      <w:r w:rsidR="00DC65A3" w:rsidRPr="00011504">
        <w:rPr>
          <w:b/>
          <w:bCs/>
          <w:sz w:val="24"/>
          <w:szCs w:val="24"/>
        </w:rPr>
        <w:t xml:space="preserve"> FIPE-UIV</w:t>
      </w:r>
      <w:r w:rsidRPr="00011504">
        <w:rPr>
          <w:b/>
          <w:bCs/>
          <w:sz w:val="24"/>
          <w:szCs w:val="24"/>
        </w:rPr>
        <w:t>,</w:t>
      </w:r>
      <w:r w:rsidR="005A5B1F" w:rsidRPr="00011504">
        <w:rPr>
          <w:b/>
          <w:bCs/>
          <w:sz w:val="24"/>
          <w:szCs w:val="24"/>
        </w:rPr>
        <w:t xml:space="preserve"> IN COLLABORAZIONE CON VINITALY</w:t>
      </w:r>
      <w:r w:rsidR="00FB4A09" w:rsidRPr="00011504">
        <w:rPr>
          <w:b/>
          <w:bCs/>
          <w:sz w:val="24"/>
          <w:szCs w:val="24"/>
        </w:rPr>
        <w:t xml:space="preserve">. OBIETTIVO </w:t>
      </w:r>
      <w:r w:rsidR="00812FB5" w:rsidRPr="00011504">
        <w:rPr>
          <w:b/>
          <w:bCs/>
          <w:sz w:val="24"/>
          <w:szCs w:val="24"/>
        </w:rPr>
        <w:t>CRESCITA COMUNE</w:t>
      </w:r>
    </w:p>
    <w:p w14:paraId="44BFFECC" w14:textId="42B6ECAA" w:rsidR="007C4BF7" w:rsidRPr="00011504" w:rsidRDefault="00264C98" w:rsidP="00951A80">
      <w:pPr>
        <w:jc w:val="both"/>
      </w:pPr>
      <w:r w:rsidRPr="00011504">
        <w:t xml:space="preserve">(Verona, </w:t>
      </w:r>
      <w:r w:rsidR="00587E47" w:rsidRPr="00011504">
        <w:t xml:space="preserve">13 aprile 2026). </w:t>
      </w:r>
      <w:r w:rsidR="009C3887" w:rsidRPr="00011504">
        <w:rPr>
          <w:b/>
          <w:bCs/>
        </w:rPr>
        <w:t xml:space="preserve">Dodici </w:t>
      </w:r>
      <w:r w:rsidR="00A046A9" w:rsidRPr="00011504">
        <w:rPr>
          <w:b/>
          <w:bCs/>
        </w:rPr>
        <w:t>miliardi di euro</w:t>
      </w:r>
      <w:r w:rsidR="002A42F9" w:rsidRPr="00011504">
        <w:t>:</w:t>
      </w:r>
      <w:r w:rsidR="00A046A9" w:rsidRPr="00011504">
        <w:t xml:space="preserve"> </w:t>
      </w:r>
      <w:r w:rsidR="002A42F9" w:rsidRPr="00011504">
        <w:t>è</w:t>
      </w:r>
      <w:r w:rsidR="00B72DD1" w:rsidRPr="00011504">
        <w:t xml:space="preserve"> </w:t>
      </w:r>
      <w:r w:rsidR="00A046A9" w:rsidRPr="00011504">
        <w:t xml:space="preserve">il </w:t>
      </w:r>
      <w:r w:rsidR="00A046A9" w:rsidRPr="00011504">
        <w:rPr>
          <w:b/>
          <w:bCs/>
        </w:rPr>
        <w:t>valore</w:t>
      </w:r>
      <w:r w:rsidR="00A046A9" w:rsidRPr="00011504">
        <w:t xml:space="preserve"> dei </w:t>
      </w:r>
      <w:r w:rsidR="00FC7CFE" w:rsidRPr="00011504">
        <w:rPr>
          <w:b/>
          <w:bCs/>
        </w:rPr>
        <w:t xml:space="preserve">consumi di vino </w:t>
      </w:r>
      <w:r w:rsidR="00B72DD1" w:rsidRPr="00011504">
        <w:rPr>
          <w:b/>
          <w:bCs/>
        </w:rPr>
        <w:t xml:space="preserve">in </w:t>
      </w:r>
      <w:r w:rsidR="002B78D0" w:rsidRPr="00011504">
        <w:rPr>
          <w:b/>
          <w:bCs/>
        </w:rPr>
        <w:t xml:space="preserve">ristoranti, </w:t>
      </w:r>
      <w:r w:rsidR="003279B7" w:rsidRPr="00011504">
        <w:rPr>
          <w:b/>
          <w:bCs/>
        </w:rPr>
        <w:t xml:space="preserve">trattorie, </w:t>
      </w:r>
      <w:r w:rsidR="002B78D0" w:rsidRPr="00011504">
        <w:rPr>
          <w:b/>
          <w:bCs/>
        </w:rPr>
        <w:t>pizzerie</w:t>
      </w:r>
      <w:r w:rsidR="00B72DD1" w:rsidRPr="00011504">
        <w:rPr>
          <w:b/>
          <w:bCs/>
        </w:rPr>
        <w:t xml:space="preserve"> e</w:t>
      </w:r>
      <w:r w:rsidR="002B78D0" w:rsidRPr="00011504">
        <w:rPr>
          <w:b/>
          <w:bCs/>
        </w:rPr>
        <w:t xml:space="preserve"> </w:t>
      </w:r>
      <w:proofErr w:type="spellStart"/>
      <w:r w:rsidR="002B78D0" w:rsidRPr="00011504">
        <w:rPr>
          <w:b/>
          <w:bCs/>
        </w:rPr>
        <w:t>wine</w:t>
      </w:r>
      <w:proofErr w:type="spellEnd"/>
      <w:r w:rsidR="002B78D0" w:rsidRPr="00011504">
        <w:rPr>
          <w:b/>
          <w:bCs/>
        </w:rPr>
        <w:t xml:space="preserve"> bar</w:t>
      </w:r>
      <w:r w:rsidR="008B5A88" w:rsidRPr="00011504">
        <w:t xml:space="preserve">, con una quota sullo scontrino medio </w:t>
      </w:r>
      <w:r w:rsidR="009C3887" w:rsidRPr="00011504">
        <w:t xml:space="preserve">di oltre il </w:t>
      </w:r>
      <w:r w:rsidR="008B5A88" w:rsidRPr="00011504">
        <w:t>21%</w:t>
      </w:r>
      <w:r w:rsidR="00FC7CFE" w:rsidRPr="00011504">
        <w:t xml:space="preserve">. </w:t>
      </w:r>
      <w:r w:rsidR="00572B38" w:rsidRPr="00011504">
        <w:t xml:space="preserve">Un fattore </w:t>
      </w:r>
      <w:r w:rsidR="00B72DD1" w:rsidRPr="00011504">
        <w:t xml:space="preserve">- quello del vino nella ristorazione - che contribuisce in modo </w:t>
      </w:r>
      <w:r w:rsidR="00B8674E" w:rsidRPr="00011504">
        <w:t xml:space="preserve">significativo </w:t>
      </w:r>
      <w:r w:rsidR="009C3887" w:rsidRPr="00011504">
        <w:t xml:space="preserve">ai </w:t>
      </w:r>
      <w:r w:rsidR="003F41A6" w:rsidRPr="00011504">
        <w:t>59,3 miliardi di euro</w:t>
      </w:r>
      <w:r w:rsidR="009C3887" w:rsidRPr="00011504">
        <w:t xml:space="preserve"> di</w:t>
      </w:r>
      <w:r w:rsidR="003F41A6" w:rsidRPr="00011504">
        <w:t xml:space="preserve"> </w:t>
      </w:r>
      <w:r w:rsidR="009C3887" w:rsidRPr="00011504">
        <w:t xml:space="preserve">valore aggiunto del settore nonostante l’ultimo </w:t>
      </w:r>
      <w:r w:rsidR="007C3D86" w:rsidRPr="00011504">
        <w:t>anno</w:t>
      </w:r>
      <w:r w:rsidR="009C3887" w:rsidRPr="00011504">
        <w:t xml:space="preserve"> sia stato segnato da</w:t>
      </w:r>
      <w:r w:rsidR="008C2B89" w:rsidRPr="00011504">
        <w:t xml:space="preserve"> una contrazione </w:t>
      </w:r>
      <w:r w:rsidR="009C3887" w:rsidRPr="00011504">
        <w:t>della</w:t>
      </w:r>
      <w:r w:rsidR="008C2B89" w:rsidRPr="00011504">
        <w:t xml:space="preserve"> spesa </w:t>
      </w:r>
      <w:r w:rsidR="009C3887" w:rsidRPr="00011504">
        <w:t>ma anche dei</w:t>
      </w:r>
      <w:r w:rsidR="005F473C" w:rsidRPr="00011504">
        <w:t xml:space="preserve"> volumi consumati. </w:t>
      </w:r>
      <w:r w:rsidR="00DD18A6" w:rsidRPr="00011504">
        <w:t>In questo quadro, i trend nella ristorazione sembrano rispecchiare l’andamento del mercato, con i rossi e i vini più corposi in difficoltà, mentre reggono i bianchi freschi e gli sp</w:t>
      </w:r>
      <w:r w:rsidR="00EA39BB">
        <w:t>umanti</w:t>
      </w:r>
      <w:r w:rsidR="00DD18A6" w:rsidRPr="00011504">
        <w:t>.</w:t>
      </w:r>
    </w:p>
    <w:p w14:paraId="0E6A19A2" w14:textId="31299564" w:rsidR="00B3666D" w:rsidRPr="00011504" w:rsidRDefault="00E277E8" w:rsidP="00951A80">
      <w:pPr>
        <w:jc w:val="both"/>
      </w:pPr>
      <w:r w:rsidRPr="00011504">
        <w:t xml:space="preserve">È quanto è emerso oggi a </w:t>
      </w:r>
      <w:r w:rsidR="00B73B44" w:rsidRPr="00011504">
        <w:t>Veronafiere</w:t>
      </w:r>
      <w:r w:rsidRPr="00011504">
        <w:t xml:space="preserve"> dalla presentazione dell</w:t>
      </w:r>
      <w:r w:rsidR="00536586" w:rsidRPr="00011504">
        <w:t>’</w:t>
      </w:r>
      <w:r w:rsidRPr="00011504">
        <w:t>indagine</w:t>
      </w:r>
      <w:r w:rsidR="0048768A" w:rsidRPr="00011504">
        <w:t xml:space="preserve">, in collaborazione con Vinitaly, </w:t>
      </w:r>
      <w:r w:rsidRPr="00011504">
        <w:t xml:space="preserve">del </w:t>
      </w:r>
      <w:r w:rsidRPr="00011504">
        <w:rPr>
          <w:b/>
          <w:bCs/>
        </w:rPr>
        <w:t>nuovo Osservatorio Fipe-Uiv “Vino &amp; Ristorazione”</w:t>
      </w:r>
      <w:r w:rsidR="00F4310E" w:rsidRPr="00011504">
        <w:t xml:space="preserve">, </w:t>
      </w:r>
      <w:r w:rsidRPr="00011504">
        <w:t xml:space="preserve">il primo in Italia interamente dedicato al </w:t>
      </w:r>
      <w:r w:rsidR="007D66D0" w:rsidRPr="00011504">
        <w:t>rapporto</w:t>
      </w:r>
      <w:r w:rsidR="00FB7F23" w:rsidRPr="00011504">
        <w:t xml:space="preserve"> </w:t>
      </w:r>
      <w:r w:rsidR="0031079F" w:rsidRPr="00011504">
        <w:t>h</w:t>
      </w:r>
      <w:r w:rsidRPr="00011504">
        <w:t>oreca</w:t>
      </w:r>
      <w:r w:rsidR="00FB7F23" w:rsidRPr="00011504">
        <w:t>-vino</w:t>
      </w:r>
      <w:r w:rsidR="003E2C82" w:rsidRPr="00011504">
        <w:t xml:space="preserve">. </w:t>
      </w:r>
      <w:r w:rsidR="0031079F" w:rsidRPr="00011504">
        <w:t>La</w:t>
      </w:r>
      <w:r w:rsidR="00160149" w:rsidRPr="00011504">
        <w:t xml:space="preserve"> 58^ edizione del Salone del vino italiano</w:t>
      </w:r>
      <w:r w:rsidR="00673EAC" w:rsidRPr="00011504">
        <w:t xml:space="preserve"> ha infatti tenuto a battesimo il </w:t>
      </w:r>
      <w:r w:rsidR="00673EAC" w:rsidRPr="00011504">
        <w:rPr>
          <w:b/>
          <w:bCs/>
        </w:rPr>
        <w:t>protocollo d’intesa</w:t>
      </w:r>
      <w:r w:rsidR="00160149" w:rsidRPr="00011504">
        <w:t xml:space="preserve"> </w:t>
      </w:r>
      <w:r w:rsidR="00673EAC" w:rsidRPr="00011504">
        <w:t xml:space="preserve">tra </w:t>
      </w:r>
      <w:r w:rsidR="00160149" w:rsidRPr="00011504">
        <w:t>Unione italiana vini (Uiv) e Fipe</w:t>
      </w:r>
      <w:r w:rsidR="009C3887" w:rsidRPr="00011504">
        <w:t>-Confcommercio</w:t>
      </w:r>
      <w:r w:rsidR="00160149" w:rsidRPr="00011504">
        <w:t xml:space="preserve"> (Federazione Italiana Pubblici Esercizi) volto alla valorizzazione reciproca dei comparti, </w:t>
      </w:r>
      <w:r w:rsidR="00AF0D7D" w:rsidRPr="00011504">
        <w:t xml:space="preserve">anche </w:t>
      </w:r>
      <w:r w:rsidR="00160149" w:rsidRPr="00011504">
        <w:t>attraverso l’attività del</w:t>
      </w:r>
      <w:r w:rsidR="00C21630" w:rsidRPr="00011504">
        <w:t>l’</w:t>
      </w:r>
      <w:r w:rsidR="00160149" w:rsidRPr="00011504">
        <w:t xml:space="preserve">Osservatorio </w:t>
      </w:r>
      <w:r w:rsidR="00DA5C3E" w:rsidRPr="00011504">
        <w:t>per</w:t>
      </w:r>
      <w:r w:rsidR="00B3666D" w:rsidRPr="00011504">
        <w:t xml:space="preserve"> </w:t>
      </w:r>
      <w:r w:rsidR="00160149" w:rsidRPr="00011504">
        <w:t xml:space="preserve">monitorare lo stato dell’arte e l’evoluzione di stili di consumo, tendenze e prodotti. </w:t>
      </w:r>
    </w:p>
    <w:p w14:paraId="7F38511A" w14:textId="4270D8C8" w:rsidR="00DB2148" w:rsidRPr="00011504" w:rsidRDefault="008C0397" w:rsidP="00951A80">
      <w:pPr>
        <w:jc w:val="both"/>
      </w:pPr>
      <w:r w:rsidRPr="00011504">
        <w:t xml:space="preserve">Secondo i risultati della </w:t>
      </w:r>
      <w:r w:rsidR="00EA39BB">
        <w:rPr>
          <w:b/>
          <w:bCs/>
        </w:rPr>
        <w:t>ricerca</w:t>
      </w:r>
      <w:r w:rsidRPr="00011504">
        <w:t xml:space="preserve">, condotta su un </w:t>
      </w:r>
      <w:r w:rsidR="003854FC" w:rsidRPr="00011504">
        <w:t>campione</w:t>
      </w:r>
      <w:r w:rsidRPr="00011504">
        <w:t xml:space="preserve"> rappresentativo di 500 imprese tra ristoranti-trattorie, ristoranti-pizzerie, pizzerie, </w:t>
      </w:r>
      <w:r w:rsidR="009C3887" w:rsidRPr="00011504">
        <w:t xml:space="preserve">cocktail </w:t>
      </w:r>
      <w:r w:rsidRPr="00011504">
        <w:t xml:space="preserve">bar ed enoteche con servizio, il vino mantiene un </w:t>
      </w:r>
      <w:r w:rsidRPr="00011504">
        <w:rPr>
          <w:b/>
          <w:bCs/>
        </w:rPr>
        <w:t xml:space="preserve">peso rilevante sul fatturato </w:t>
      </w:r>
      <w:r w:rsidRPr="00011504">
        <w:t xml:space="preserve">della ristorazione, attestandosi mediamente </w:t>
      </w:r>
      <w:r w:rsidRPr="00011504">
        <w:rPr>
          <w:b/>
          <w:bCs/>
        </w:rPr>
        <w:t>oltre il 21%</w:t>
      </w:r>
      <w:r w:rsidRPr="00011504">
        <w:t xml:space="preserve">, con un’incidenza che supera il 30% </w:t>
      </w:r>
      <w:r w:rsidR="00571422" w:rsidRPr="00011504">
        <w:t xml:space="preserve">per il </w:t>
      </w:r>
      <w:r w:rsidR="00160149" w:rsidRPr="00011504">
        <w:t xml:space="preserve">22% </w:t>
      </w:r>
      <w:r w:rsidR="003854FC" w:rsidRPr="00011504">
        <w:t>de</w:t>
      </w:r>
      <w:r w:rsidR="00EA39BB">
        <w:t>gl</w:t>
      </w:r>
      <w:r w:rsidR="003854FC" w:rsidRPr="00011504">
        <w:t xml:space="preserve">i </w:t>
      </w:r>
      <w:r w:rsidR="00EA39BB">
        <w:t>intervistati</w:t>
      </w:r>
      <w:r w:rsidR="00160149" w:rsidRPr="00011504">
        <w:t xml:space="preserve">. </w:t>
      </w:r>
      <w:r w:rsidR="00E77DE4" w:rsidRPr="00011504">
        <w:t>Un</w:t>
      </w:r>
      <w:r w:rsidR="00AF0D7D" w:rsidRPr="00011504">
        <w:t xml:space="preserve"> impatto</w:t>
      </w:r>
      <w:r w:rsidR="00E77DE4" w:rsidRPr="00011504">
        <w:t xml:space="preserve"> fondamentale, </w:t>
      </w:r>
      <w:r w:rsidR="00A61D59" w:rsidRPr="00011504">
        <w:t>registra l’Osservatorio</w:t>
      </w:r>
      <w:r w:rsidR="00BA7648" w:rsidRPr="00011504">
        <w:t xml:space="preserve">, </w:t>
      </w:r>
      <w:r w:rsidR="00E433AB" w:rsidRPr="00011504">
        <w:t xml:space="preserve">che </w:t>
      </w:r>
      <w:r w:rsidR="00BA7648" w:rsidRPr="00011504">
        <w:t xml:space="preserve">si </w:t>
      </w:r>
      <w:r w:rsidR="00A84462" w:rsidRPr="00011504">
        <w:t xml:space="preserve">rileva anche nell’ormai acquisita presenza della </w:t>
      </w:r>
      <w:r w:rsidR="00A84462" w:rsidRPr="00011504">
        <w:rPr>
          <w:b/>
          <w:bCs/>
        </w:rPr>
        <w:t>carta dei vini</w:t>
      </w:r>
      <w:r w:rsidR="000469A2" w:rsidRPr="00011504">
        <w:t>, utilizzata da 3 ristoranti su 4</w:t>
      </w:r>
      <w:r w:rsidR="00F918C3" w:rsidRPr="00011504">
        <w:t xml:space="preserve"> ma anche </w:t>
      </w:r>
      <w:r w:rsidR="008C1937" w:rsidRPr="00011504">
        <w:t xml:space="preserve">dalla metà delle </w:t>
      </w:r>
      <w:r w:rsidR="00405A46" w:rsidRPr="00011504">
        <w:t>pizzeri</w:t>
      </w:r>
      <w:r w:rsidR="008C1937" w:rsidRPr="00011504">
        <w:t>e-ristoranti</w:t>
      </w:r>
      <w:r w:rsidR="007064A4" w:rsidRPr="00011504">
        <w:t xml:space="preserve"> (4,1 milioni le voci </w:t>
      </w:r>
      <w:r w:rsidR="001B0CFC" w:rsidRPr="00011504">
        <w:t xml:space="preserve">totali </w:t>
      </w:r>
      <w:r w:rsidR="007064A4" w:rsidRPr="00011504">
        <w:t>in carta)</w:t>
      </w:r>
      <w:r w:rsidR="008C1937" w:rsidRPr="00011504">
        <w:t xml:space="preserve">. </w:t>
      </w:r>
      <w:r w:rsidR="00464F68" w:rsidRPr="00011504">
        <w:t>Qui i</w:t>
      </w:r>
      <w:r w:rsidR="008C1937" w:rsidRPr="00011504">
        <w:t xml:space="preserve">l vino rappresenta un pilastro </w:t>
      </w:r>
      <w:r w:rsidR="00887B58" w:rsidRPr="00011504">
        <w:t>dell</w:t>
      </w:r>
      <w:r w:rsidR="002E5DBF" w:rsidRPr="00011504">
        <w:t>’</w:t>
      </w:r>
      <w:r w:rsidR="008C1937" w:rsidRPr="00011504">
        <w:t>offerta</w:t>
      </w:r>
      <w:r w:rsidR="00872BEF" w:rsidRPr="00011504">
        <w:t xml:space="preserve"> </w:t>
      </w:r>
      <w:r w:rsidR="000638C6" w:rsidRPr="00011504">
        <w:t>–</w:t>
      </w:r>
      <w:r w:rsidR="00F12144" w:rsidRPr="00011504">
        <w:t xml:space="preserve"> </w:t>
      </w:r>
      <w:r w:rsidR="00835E8B" w:rsidRPr="00011504">
        <w:t>gestita</w:t>
      </w:r>
      <w:r w:rsidR="000638C6" w:rsidRPr="00011504">
        <w:t xml:space="preserve"> </w:t>
      </w:r>
      <w:r w:rsidR="00683E27" w:rsidRPr="00011504">
        <w:t>in larghissima parte direttamente dal titolare</w:t>
      </w:r>
      <w:r w:rsidR="002E5DBF" w:rsidRPr="00011504">
        <w:t xml:space="preserve"> </w:t>
      </w:r>
      <w:r w:rsidR="00683E27" w:rsidRPr="00011504">
        <w:t xml:space="preserve">come strumento di posizionamento </w:t>
      </w:r>
      <w:r w:rsidR="006B3935" w:rsidRPr="00011504">
        <w:t>e di racconto del territorio</w:t>
      </w:r>
      <w:r w:rsidR="00872BEF" w:rsidRPr="00011504">
        <w:t xml:space="preserve"> – che</w:t>
      </w:r>
      <w:r w:rsidR="000638C6" w:rsidRPr="00011504">
        <w:t xml:space="preserve"> tuttavia viene </w:t>
      </w:r>
      <w:r w:rsidR="00B7350F" w:rsidRPr="00011504">
        <w:t>rinnovata</w:t>
      </w:r>
      <w:r w:rsidR="000638C6" w:rsidRPr="00011504">
        <w:t xml:space="preserve"> meno di una volta </w:t>
      </w:r>
      <w:r w:rsidR="002166FF" w:rsidRPr="00011504">
        <w:t xml:space="preserve">l’anno </w:t>
      </w:r>
      <w:r w:rsidR="003854FC" w:rsidRPr="00011504">
        <w:t xml:space="preserve">nel 54% dei casi. </w:t>
      </w:r>
      <w:r w:rsidR="00E91F6B" w:rsidRPr="00011504">
        <w:t>Questo</w:t>
      </w:r>
      <w:r w:rsidR="005F72A2" w:rsidRPr="00011504">
        <w:t xml:space="preserve"> scarso ricambio</w:t>
      </w:r>
      <w:r w:rsidR="00A15E96" w:rsidRPr="00011504">
        <w:t xml:space="preserve">, stando ai dati raccolti, </w:t>
      </w:r>
      <w:r w:rsidR="006C0FB2" w:rsidRPr="00011504">
        <w:t>si inserisce in un contesto d</w:t>
      </w:r>
      <w:r w:rsidR="00B67A60" w:rsidRPr="00011504">
        <w:t xml:space="preserve">i </w:t>
      </w:r>
      <w:r w:rsidR="006A0A46" w:rsidRPr="00011504">
        <w:t xml:space="preserve">scarsa </w:t>
      </w:r>
      <w:r w:rsidR="00A15E96" w:rsidRPr="00011504">
        <w:t xml:space="preserve">formazione </w:t>
      </w:r>
      <w:r w:rsidR="005A1151" w:rsidRPr="00011504">
        <w:t xml:space="preserve">in materia enologica </w:t>
      </w:r>
      <w:r w:rsidR="00A15E96" w:rsidRPr="00011504">
        <w:t>dei ristoratori</w:t>
      </w:r>
      <w:r w:rsidR="00951A80" w:rsidRPr="00011504">
        <w:t xml:space="preserve">: </w:t>
      </w:r>
      <w:r w:rsidR="00B8674E" w:rsidRPr="00011504">
        <w:t xml:space="preserve">in </w:t>
      </w:r>
      <w:r w:rsidR="008D6CF9" w:rsidRPr="00011504">
        <w:t xml:space="preserve">un terzo dei locali </w:t>
      </w:r>
      <w:r w:rsidR="00B8674E" w:rsidRPr="00011504">
        <w:t xml:space="preserve">non si registrano forme di aggiornamento </w:t>
      </w:r>
      <w:r w:rsidR="00DF03B7" w:rsidRPr="00011504">
        <w:t>(</w:t>
      </w:r>
      <w:r w:rsidR="008D6CF9" w:rsidRPr="00011504">
        <w:t xml:space="preserve">quota che sale al 61% </w:t>
      </w:r>
      <w:r w:rsidR="00DF03B7" w:rsidRPr="00011504">
        <w:t>nel</w:t>
      </w:r>
      <w:r w:rsidR="008D6CF9" w:rsidRPr="00011504">
        <w:t xml:space="preserve">le pizzerie e al 50% </w:t>
      </w:r>
      <w:r w:rsidR="00B8674E" w:rsidRPr="00011504">
        <w:t xml:space="preserve">nei cocktail </w:t>
      </w:r>
      <w:r w:rsidR="008D6CF9" w:rsidRPr="00011504">
        <w:t>bar</w:t>
      </w:r>
      <w:r w:rsidR="00DF03B7" w:rsidRPr="00011504">
        <w:t>)</w:t>
      </w:r>
      <w:r w:rsidR="001E3A4B" w:rsidRPr="00011504">
        <w:t xml:space="preserve">, </w:t>
      </w:r>
      <w:r w:rsidR="00DB2148" w:rsidRPr="00011504">
        <w:t xml:space="preserve">e la metà di chi si </w:t>
      </w:r>
      <w:r w:rsidR="005F72A2" w:rsidRPr="00011504">
        <w:t>forma</w:t>
      </w:r>
      <w:r w:rsidR="00B8674E" w:rsidRPr="00011504">
        <w:t xml:space="preserve"> </w:t>
      </w:r>
      <w:r w:rsidR="00FE0940" w:rsidRPr="00011504">
        <w:t xml:space="preserve">lo fa </w:t>
      </w:r>
      <w:r w:rsidR="00B8674E" w:rsidRPr="00011504">
        <w:t xml:space="preserve">attraverso il passa parola con </w:t>
      </w:r>
      <w:r w:rsidR="00FE0940" w:rsidRPr="00011504">
        <w:t xml:space="preserve">agenti o distributori. </w:t>
      </w:r>
    </w:p>
    <w:p w14:paraId="79429A3E" w14:textId="2BF53B00" w:rsidR="00F67BC8" w:rsidRDefault="00F67BC8" w:rsidP="00951A80">
      <w:pPr>
        <w:jc w:val="both"/>
      </w:pPr>
      <w:r w:rsidRPr="00011504">
        <w:t>“</w:t>
      </w:r>
      <w:r w:rsidRPr="00011504">
        <w:rPr>
          <w:i/>
          <w:iCs/>
        </w:rPr>
        <w:t>Al mondo del vino italiano mancava uno strumento che consentisse di esplorare meglio le dinamiche con la ristorazione</w:t>
      </w:r>
      <w:r w:rsidRPr="00011504">
        <w:t xml:space="preserve"> – ha dichiarato il presidente Uiv, </w:t>
      </w:r>
      <w:r w:rsidRPr="00011504">
        <w:rPr>
          <w:b/>
          <w:bCs/>
        </w:rPr>
        <w:t>Lamberto Frescobaldi</w:t>
      </w:r>
      <w:r w:rsidRPr="00011504">
        <w:t xml:space="preserve"> –</w:t>
      </w:r>
      <w:r w:rsidRPr="00011504">
        <w:rPr>
          <w:i/>
          <w:iCs/>
        </w:rPr>
        <w:t>, un binomio che ha fatto la fortuna della cucina e del vino italiano nel mondo. Ora è giunto il momento di fare leva su questa sinergia per fare crescere i nostri settori, a partire dalla comprensione reciproca</w:t>
      </w:r>
      <w:r w:rsidR="001D20F6" w:rsidRPr="00011504">
        <w:rPr>
          <w:i/>
          <w:iCs/>
        </w:rPr>
        <w:t xml:space="preserve">. </w:t>
      </w:r>
      <w:r w:rsidR="00BA0D4E" w:rsidRPr="00011504">
        <w:rPr>
          <w:i/>
          <w:iCs/>
        </w:rPr>
        <w:t>In questo primo report è</w:t>
      </w:r>
      <w:r w:rsidR="001D20F6" w:rsidRPr="00011504">
        <w:rPr>
          <w:i/>
          <w:iCs/>
        </w:rPr>
        <w:t xml:space="preserve"> già emers</w:t>
      </w:r>
      <w:r w:rsidR="002A5CED" w:rsidRPr="00011504">
        <w:rPr>
          <w:i/>
          <w:iCs/>
        </w:rPr>
        <w:t xml:space="preserve">a la necessità di lavorare per </w:t>
      </w:r>
      <w:r w:rsidR="00BA0D4E" w:rsidRPr="00011504">
        <w:rPr>
          <w:i/>
          <w:iCs/>
        </w:rPr>
        <w:t xml:space="preserve">meglio </w:t>
      </w:r>
      <w:r w:rsidR="002A5CED" w:rsidRPr="00011504">
        <w:rPr>
          <w:i/>
          <w:iCs/>
        </w:rPr>
        <w:t xml:space="preserve">trasferire l’innovazione </w:t>
      </w:r>
      <w:r w:rsidR="00BA0D4E" w:rsidRPr="00011504">
        <w:rPr>
          <w:i/>
          <w:iCs/>
        </w:rPr>
        <w:t>di prodotto che il vino esprime</w:t>
      </w:r>
      <w:r w:rsidR="00BA0D4E" w:rsidRPr="00011504">
        <w:t xml:space="preserve"> – ha concluso –</w:t>
      </w:r>
      <w:r w:rsidR="00BA0D4E" w:rsidRPr="00011504">
        <w:rPr>
          <w:i/>
          <w:iCs/>
        </w:rPr>
        <w:t xml:space="preserve">, </w:t>
      </w:r>
      <w:r w:rsidR="00F73F1A" w:rsidRPr="00011504">
        <w:rPr>
          <w:i/>
          <w:iCs/>
        </w:rPr>
        <w:t xml:space="preserve">ma possiamo e dobbiamo </w:t>
      </w:r>
      <w:r w:rsidR="00BA0D4E" w:rsidRPr="00011504">
        <w:rPr>
          <w:i/>
          <w:iCs/>
        </w:rPr>
        <w:t xml:space="preserve">sicuramente </w:t>
      </w:r>
      <w:r w:rsidR="00F05400" w:rsidRPr="00011504">
        <w:rPr>
          <w:i/>
          <w:iCs/>
        </w:rPr>
        <w:t xml:space="preserve">fare squadra per </w:t>
      </w:r>
      <w:r w:rsidR="00F73F1A" w:rsidRPr="00011504">
        <w:rPr>
          <w:i/>
          <w:iCs/>
        </w:rPr>
        <w:t>ascoltare davvero i consumatori</w:t>
      </w:r>
      <w:r w:rsidRPr="00011504">
        <w:t xml:space="preserve">”. </w:t>
      </w:r>
    </w:p>
    <w:p w14:paraId="02D0B25C" w14:textId="79585F1E" w:rsidR="00D77B88" w:rsidRDefault="00290386" w:rsidP="00951A80">
      <w:pPr>
        <w:jc w:val="both"/>
      </w:pPr>
      <w:r>
        <w:t xml:space="preserve">Per </w:t>
      </w:r>
      <w:r w:rsidRPr="00290386">
        <w:rPr>
          <w:b/>
        </w:rPr>
        <w:t>Lino Enrico Stoppani</w:t>
      </w:r>
      <w:r w:rsidRPr="00290386">
        <w:t>, Presidente F</w:t>
      </w:r>
      <w:r>
        <w:t>ipe</w:t>
      </w:r>
      <w:r w:rsidRPr="00290386">
        <w:t>-Confcommercio</w:t>
      </w:r>
      <w:r>
        <w:t>:</w:t>
      </w:r>
      <w:r w:rsidRPr="00290386">
        <w:rPr>
          <w:i/>
          <w:iCs/>
        </w:rPr>
        <w:t xml:space="preserve"> </w:t>
      </w:r>
      <w:r w:rsidR="00D77B88" w:rsidRPr="00290386">
        <w:rPr>
          <w:i/>
          <w:iCs/>
        </w:rPr>
        <w:t xml:space="preserve">“Il vino è </w:t>
      </w:r>
      <w:r w:rsidR="00EA39BB" w:rsidRPr="00290386">
        <w:rPr>
          <w:i/>
          <w:iCs/>
        </w:rPr>
        <w:t xml:space="preserve">elemento </w:t>
      </w:r>
      <w:r w:rsidR="00D77B88" w:rsidRPr="00290386">
        <w:rPr>
          <w:i/>
          <w:iCs/>
        </w:rPr>
        <w:t>strategic</w:t>
      </w:r>
      <w:r w:rsidR="00EA39BB" w:rsidRPr="00290386">
        <w:rPr>
          <w:i/>
          <w:iCs/>
        </w:rPr>
        <w:t>o</w:t>
      </w:r>
      <w:r w:rsidR="00D77B88" w:rsidRPr="00290386">
        <w:rPr>
          <w:i/>
          <w:iCs/>
        </w:rPr>
        <w:t xml:space="preserve"> dell’offerta della ristorazione italiana, sia </w:t>
      </w:r>
      <w:r w:rsidR="008C1819">
        <w:rPr>
          <w:i/>
          <w:iCs/>
        </w:rPr>
        <w:t>su</w:t>
      </w:r>
      <w:r w:rsidR="00D77B88" w:rsidRPr="00290386">
        <w:rPr>
          <w:i/>
          <w:iCs/>
        </w:rPr>
        <w:t xml:space="preserve">l piano economico </w:t>
      </w:r>
      <w:r w:rsidR="00EA39BB" w:rsidRPr="00290386">
        <w:rPr>
          <w:i/>
          <w:iCs/>
        </w:rPr>
        <w:t>che</w:t>
      </w:r>
      <w:r w:rsidR="00D77B88" w:rsidRPr="00290386">
        <w:rPr>
          <w:i/>
          <w:iCs/>
        </w:rPr>
        <w:t xml:space="preserve"> culturale, perché contribuisce a definire l’identità e la qualità dell’esperienza per il cliente. </w:t>
      </w:r>
      <w:r w:rsidR="00EA39BB" w:rsidRPr="00290386">
        <w:rPr>
          <w:i/>
          <w:iCs/>
        </w:rPr>
        <w:t xml:space="preserve">Infatti non c’è piena convivialità senza l’accompagnamento del pasto con un buon vino </w:t>
      </w:r>
      <w:r w:rsidR="00D77B88" w:rsidRPr="00290386">
        <w:rPr>
          <w:i/>
          <w:iCs/>
        </w:rPr>
        <w:t xml:space="preserve">I dati dell’Osservatorio evidenziano però la necessità di investire di più in formazione e </w:t>
      </w:r>
      <w:r w:rsidR="00EA39BB" w:rsidRPr="00290386">
        <w:rPr>
          <w:i/>
          <w:iCs/>
        </w:rPr>
        <w:t>comunicazione</w:t>
      </w:r>
      <w:r w:rsidR="00D77B88" w:rsidRPr="00290386">
        <w:rPr>
          <w:i/>
          <w:iCs/>
        </w:rPr>
        <w:t xml:space="preserve">, a partire dalle carte dei vini </w:t>
      </w:r>
      <w:r w:rsidR="00EA39BB" w:rsidRPr="00290386">
        <w:rPr>
          <w:i/>
          <w:iCs/>
        </w:rPr>
        <w:t xml:space="preserve">da migliorare negli </w:t>
      </w:r>
      <w:r w:rsidR="00EA39BB" w:rsidRPr="00290386">
        <w:rPr>
          <w:i/>
          <w:iCs/>
        </w:rPr>
        <w:lastRenderedPageBreak/>
        <w:t xml:space="preserve">assortimenti proposti, </w:t>
      </w:r>
      <w:r w:rsidR="00D77B88" w:rsidRPr="00290386">
        <w:rPr>
          <w:i/>
          <w:iCs/>
        </w:rPr>
        <w:t>che restano uno strumento fondamentale di valorizzazione</w:t>
      </w:r>
      <w:r w:rsidR="00EA39BB" w:rsidRPr="00290386">
        <w:rPr>
          <w:i/>
          <w:iCs/>
        </w:rPr>
        <w:t xml:space="preserve"> dell’offerta complessiva dei ristoranti</w:t>
      </w:r>
      <w:r w:rsidR="00D77B88" w:rsidRPr="00290386">
        <w:rPr>
          <w:i/>
          <w:iCs/>
        </w:rPr>
        <w:t>. In un contesto di consumi in rallentamento, è sempre più importante rafforzare la collaborazione tra ristoratori e produttori per intercettare le nuove tendenze e costruire un’offerta coerente e competitiva, capace di sostenere anche la marginalità delle imprese</w:t>
      </w:r>
      <w:r w:rsidR="00D77B88" w:rsidRPr="00290386">
        <w:t>”</w:t>
      </w:r>
      <w:r w:rsidR="008C1819">
        <w:t>.</w:t>
      </w:r>
      <w:r w:rsidR="00D77B88" w:rsidRPr="00290386">
        <w:t> </w:t>
      </w:r>
    </w:p>
    <w:p w14:paraId="212135A0" w14:textId="79F1AA1B" w:rsidR="00546089" w:rsidRPr="00011504" w:rsidRDefault="00E52E40" w:rsidP="007A46CD">
      <w:pPr>
        <w:jc w:val="both"/>
      </w:pPr>
      <w:r w:rsidRPr="00011504">
        <w:t xml:space="preserve">Sul fronte dei </w:t>
      </w:r>
      <w:r w:rsidRPr="00011504">
        <w:rPr>
          <w:b/>
          <w:bCs/>
        </w:rPr>
        <w:t>consumi</w:t>
      </w:r>
      <w:r w:rsidRPr="00011504">
        <w:t xml:space="preserve">, </w:t>
      </w:r>
      <w:r w:rsidR="00263291" w:rsidRPr="00011504">
        <w:t>s</w:t>
      </w:r>
      <w:r w:rsidRPr="00011504">
        <w:t xml:space="preserve">e per oltre la metà dei </w:t>
      </w:r>
      <w:r w:rsidR="00263291" w:rsidRPr="00011504">
        <w:t xml:space="preserve">ristoratori </w:t>
      </w:r>
      <w:r w:rsidRPr="00011504">
        <w:t xml:space="preserve">gli ordini </w:t>
      </w:r>
      <w:r w:rsidR="00BC6508" w:rsidRPr="00011504">
        <w:t>di vino</w:t>
      </w:r>
      <w:r w:rsidRPr="00011504">
        <w:t xml:space="preserve"> sono “invariati” </w:t>
      </w:r>
      <w:r w:rsidR="00EA39BB">
        <w:t>rispetto</w:t>
      </w:r>
      <w:r w:rsidR="00BC6508" w:rsidRPr="00011504">
        <w:t xml:space="preserve"> al biennio 2021/22, </w:t>
      </w:r>
      <w:r w:rsidR="006D2124" w:rsidRPr="00011504">
        <w:t xml:space="preserve">quelli che dichiarano </w:t>
      </w:r>
      <w:r w:rsidR="00EA39BB">
        <w:t xml:space="preserve">invece </w:t>
      </w:r>
      <w:r w:rsidR="006D2124" w:rsidRPr="00011504">
        <w:t xml:space="preserve">di aver riscontrato cali sono nettamente maggiori </w:t>
      </w:r>
      <w:r w:rsidR="0088072E" w:rsidRPr="00011504">
        <w:t xml:space="preserve">in fatto di spesa </w:t>
      </w:r>
      <w:r w:rsidR="00CB5738" w:rsidRPr="00011504">
        <w:t xml:space="preserve">(-17 </w:t>
      </w:r>
      <w:r w:rsidR="009664AE">
        <w:t xml:space="preserve">il </w:t>
      </w:r>
      <w:r w:rsidR="00CB5738" w:rsidRPr="00011504">
        <w:t xml:space="preserve">saldo </w:t>
      </w:r>
      <w:r w:rsidR="009664AE">
        <w:t xml:space="preserve">netto </w:t>
      </w:r>
      <w:r w:rsidR="00CB5738" w:rsidRPr="00011504">
        <w:t xml:space="preserve">tra le </w:t>
      </w:r>
      <w:r w:rsidR="009664AE">
        <w:t xml:space="preserve">quote </w:t>
      </w:r>
      <w:r w:rsidR="00CB5738" w:rsidRPr="00011504">
        <w:t>di risposte che indicano aumento e flessione)</w:t>
      </w:r>
      <w:r w:rsidR="00D246DD" w:rsidRPr="00011504">
        <w:t xml:space="preserve"> ma ancora di più a livello di consumi </w:t>
      </w:r>
      <w:r w:rsidR="00697AED" w:rsidRPr="00011504">
        <w:t>(-28)</w:t>
      </w:r>
      <w:r w:rsidR="00DA2001" w:rsidRPr="00011504">
        <w:t>. A registrare le flessioni più significative sui volumi consumati sono i ristoranti/trattoria (</w:t>
      </w:r>
      <w:r w:rsidR="009664AE">
        <w:t xml:space="preserve">saldo netto </w:t>
      </w:r>
      <w:r w:rsidR="00DA2001" w:rsidRPr="00011504">
        <w:t xml:space="preserve">a </w:t>
      </w:r>
      <w:r w:rsidR="00841CF8" w:rsidRPr="00011504">
        <w:t>-35</w:t>
      </w:r>
      <w:r w:rsidR="00DA2001" w:rsidRPr="00011504">
        <w:t>)</w:t>
      </w:r>
      <w:r w:rsidR="00841CF8" w:rsidRPr="00011504">
        <w:t>.</w:t>
      </w:r>
      <w:r w:rsidR="009F53BE" w:rsidRPr="00011504">
        <w:t xml:space="preserve"> Non a caso, del 5</w:t>
      </w:r>
      <w:r w:rsidR="00816053" w:rsidRPr="00011504">
        <w:t>3</w:t>
      </w:r>
      <w:r w:rsidR="009F53BE" w:rsidRPr="00011504">
        <w:t>% che ravvisa criticità nella gestione del vino</w:t>
      </w:r>
      <w:r w:rsidR="00816053" w:rsidRPr="00011504">
        <w:t xml:space="preserve">, la prima voce è legata al calo della domanda. </w:t>
      </w:r>
    </w:p>
    <w:p w14:paraId="73FCC952" w14:textId="42825731" w:rsidR="003D286D" w:rsidRPr="00011504" w:rsidRDefault="00B27ADD" w:rsidP="007A46CD">
      <w:pPr>
        <w:jc w:val="both"/>
      </w:pPr>
      <w:r w:rsidRPr="00011504">
        <w:t>Nella scelta dei vini, a</w:t>
      </w:r>
      <w:r w:rsidR="004D5861" w:rsidRPr="00011504">
        <w:t xml:space="preserve"> fare da protagonista è ancora la “leggerezza”: </w:t>
      </w:r>
      <w:r w:rsidR="001E7CDE" w:rsidRPr="00011504">
        <w:t>i vini meno impegnativi (gli spumanti e ancor più i bianchi leggeri</w:t>
      </w:r>
      <w:r w:rsidR="008B6789" w:rsidRPr="00011504">
        <w:t xml:space="preserve">) evidenziano </w:t>
      </w:r>
      <w:r w:rsidR="009664AE">
        <w:t>saldi netti</w:t>
      </w:r>
      <w:r w:rsidR="008B6789" w:rsidRPr="00011504">
        <w:t xml:space="preserve"> positivi in doppia cifra, mentre </w:t>
      </w:r>
      <w:r w:rsidR="00F40052" w:rsidRPr="00011504">
        <w:t>in frenata r</w:t>
      </w:r>
      <w:r w:rsidR="00F9060F" w:rsidRPr="00011504">
        <w:t>isu</w:t>
      </w:r>
      <w:r w:rsidR="00F40052" w:rsidRPr="00011504">
        <w:t>lta la doman</w:t>
      </w:r>
      <w:r w:rsidR="00F9060F" w:rsidRPr="00011504">
        <w:t xml:space="preserve">da dei rossi leggeri e </w:t>
      </w:r>
      <w:r w:rsidR="00B552F0" w:rsidRPr="00011504">
        <w:t>in misura maggiore di quelli strutturati.</w:t>
      </w:r>
      <w:r w:rsidR="007A46CD" w:rsidRPr="00011504">
        <w:t xml:space="preserve"> </w:t>
      </w:r>
      <w:r w:rsidR="003D286D" w:rsidRPr="00011504">
        <w:t>E se i cocktail sono ormai una presenza fissa in carta per un quinto abbondante dei locali, prevale ancora (44%) la quota di ristoranti e pizzerie che valutano la mixology come non coerente rispetto al posizionamento del locale.</w:t>
      </w:r>
    </w:p>
    <w:p w14:paraId="575DF9C1" w14:textId="665B96C8" w:rsidR="007A46CD" w:rsidRPr="00011504" w:rsidRDefault="007A46CD" w:rsidP="007A46CD">
      <w:pPr>
        <w:jc w:val="both"/>
      </w:pPr>
      <w:r w:rsidRPr="00011504">
        <w:t xml:space="preserve">Guardando al </w:t>
      </w:r>
      <w:r w:rsidRPr="00011504">
        <w:rPr>
          <w:b/>
          <w:bCs/>
        </w:rPr>
        <w:t>futuro</w:t>
      </w:r>
      <w:r w:rsidRPr="00011504">
        <w:t>, la maggior parte dei ristoratori si aspetta una situazione di stabilità (43%), un buon 26% è pessimista e attende una riduzione generale dei consumi di alcol (quota che sale al 34% ne</w:t>
      </w:r>
      <w:r w:rsidR="00E071E6" w:rsidRPr="00011504">
        <w:t>i ristoranti/</w:t>
      </w:r>
      <w:r w:rsidRPr="00011504">
        <w:t>pizzerie)</w:t>
      </w:r>
      <w:r w:rsidR="00A42707" w:rsidRPr="00011504">
        <w:t xml:space="preserve"> con l’8% che ritiene che i low e no-alcol prenderanno piede presso il proprio locale</w:t>
      </w:r>
      <w:r w:rsidR="00AE2D02" w:rsidRPr="00011504">
        <w:t>.</w:t>
      </w:r>
    </w:p>
    <w:p w14:paraId="74BABDE9" w14:textId="64C571EA" w:rsidR="00F110B3" w:rsidRPr="00011504" w:rsidRDefault="00F110B3" w:rsidP="00F110B3">
      <w:pPr>
        <w:jc w:val="both"/>
      </w:pPr>
      <w:r w:rsidRPr="00467D97">
        <w:t>“</w:t>
      </w:r>
      <w:r w:rsidRPr="003F528A">
        <w:rPr>
          <w:i/>
          <w:iCs/>
        </w:rPr>
        <w:t>La ristorazione è centrale nel racconto del vino italiano e del suo legame con territori e identità</w:t>
      </w:r>
      <w:r>
        <w:t xml:space="preserve"> – ha </w:t>
      </w:r>
      <w:r w:rsidR="009664AE">
        <w:t>commentato</w:t>
      </w:r>
      <w:r>
        <w:t xml:space="preserve"> il presidente di Veronafiere, </w:t>
      </w:r>
      <w:r w:rsidRPr="003F528A">
        <w:rPr>
          <w:b/>
          <w:bCs/>
        </w:rPr>
        <w:t>Federico Bricolo</w:t>
      </w:r>
      <w:r>
        <w:t xml:space="preserve"> –</w:t>
      </w:r>
      <w:r w:rsidRPr="003F528A">
        <w:rPr>
          <w:i/>
          <w:iCs/>
        </w:rPr>
        <w:t xml:space="preserve">. La 58^ edizione di Vinitaly lo celebra con un’offerta gastronomica potenziata, dal Ristorante d’Autore alle proposte stellate nei padiglioni regionali, in un fil-rouge con la candidatura della Cucina italiana a patrimonio Unesco partita proprio da questa fiera. Vino e ristorazione sono un matrimonio consolidato che, per continuare a crescere, deve investire sul dialogo: per questo con Vinitaly sosteniamo l’Osservatorio Fipe-Uiv, certi che porterà valore al business </w:t>
      </w:r>
      <w:r>
        <w:rPr>
          <w:i/>
          <w:iCs/>
        </w:rPr>
        <w:t>enoico made in Italy</w:t>
      </w:r>
      <w:r w:rsidRPr="00467D97">
        <w:t>”</w:t>
      </w:r>
      <w:r>
        <w:t xml:space="preserve">. </w:t>
      </w:r>
    </w:p>
    <w:p w14:paraId="3F62573B" w14:textId="77777777" w:rsidR="004D5861" w:rsidRDefault="004D5861">
      <w:pPr>
        <w:jc w:val="both"/>
      </w:pPr>
    </w:p>
    <w:p w14:paraId="5B4A02F2" w14:textId="77777777" w:rsidR="00850896" w:rsidRPr="001A3ADA" w:rsidRDefault="00850896" w:rsidP="00850896">
      <w:pPr>
        <w:spacing w:after="0" w:line="23" w:lineRule="atLeast"/>
        <w:rPr>
          <w:b/>
          <w:bCs/>
          <w:sz w:val="18"/>
          <w:szCs w:val="18"/>
        </w:rPr>
      </w:pPr>
      <w:r w:rsidRPr="001A3ADA">
        <w:rPr>
          <w:b/>
          <w:bCs/>
          <w:sz w:val="18"/>
          <w:szCs w:val="18"/>
        </w:rPr>
        <w:t>Area Media Corporate &amp; Products Veronafiere</w:t>
      </w:r>
    </w:p>
    <w:p w14:paraId="415FE64A" w14:textId="77777777" w:rsidR="00850896" w:rsidRPr="001A3ADA" w:rsidRDefault="00850896" w:rsidP="00850896">
      <w:pPr>
        <w:spacing w:after="0" w:line="23" w:lineRule="atLeast"/>
        <w:rPr>
          <w:sz w:val="18"/>
          <w:szCs w:val="18"/>
        </w:rPr>
      </w:pPr>
      <w:r w:rsidRPr="001A3ADA">
        <w:rPr>
          <w:sz w:val="18"/>
          <w:szCs w:val="18"/>
        </w:rPr>
        <w:t>Responsabile Carlo Alberto Delaini</w:t>
      </w:r>
    </w:p>
    <w:p w14:paraId="17127FB3" w14:textId="77777777" w:rsidR="00850896" w:rsidRPr="001A3ADA" w:rsidRDefault="00850896" w:rsidP="00850896">
      <w:pPr>
        <w:spacing w:after="0" w:line="23" w:lineRule="atLeast"/>
        <w:rPr>
          <w:sz w:val="18"/>
          <w:szCs w:val="18"/>
        </w:rPr>
      </w:pPr>
      <w:r w:rsidRPr="001A3ADA">
        <w:rPr>
          <w:sz w:val="18"/>
          <w:szCs w:val="18"/>
        </w:rPr>
        <w:t>Capo Ufficio Stampa Francesco Marchi</w:t>
      </w:r>
    </w:p>
    <w:p w14:paraId="3BB9AF33" w14:textId="77777777" w:rsidR="00850896" w:rsidRPr="001A3ADA" w:rsidRDefault="00850896" w:rsidP="00850896">
      <w:pPr>
        <w:spacing w:after="0" w:line="23" w:lineRule="atLeast"/>
        <w:rPr>
          <w:sz w:val="18"/>
          <w:szCs w:val="18"/>
        </w:rPr>
      </w:pPr>
      <w:r w:rsidRPr="001A3ADA">
        <w:rPr>
          <w:sz w:val="18"/>
          <w:szCs w:val="18"/>
        </w:rPr>
        <w:t>Tel.: + 39.045.829.83.50 - 82.42 - 82.10 – 84.27</w:t>
      </w:r>
    </w:p>
    <w:p w14:paraId="5D8301B4" w14:textId="77777777" w:rsidR="00850896" w:rsidRPr="001A3ADA" w:rsidRDefault="00850896" w:rsidP="00850896">
      <w:pPr>
        <w:spacing w:after="0" w:line="23" w:lineRule="atLeast"/>
        <w:rPr>
          <w:sz w:val="18"/>
          <w:szCs w:val="18"/>
        </w:rPr>
      </w:pPr>
      <w:r w:rsidRPr="001A3ADA">
        <w:rPr>
          <w:sz w:val="18"/>
          <w:szCs w:val="18"/>
        </w:rPr>
        <w:t xml:space="preserve">E-mail: </w:t>
      </w:r>
      <w:hyperlink r:id="rId11" w:history="1">
        <w:r w:rsidRPr="001A3ADA">
          <w:rPr>
            <w:rStyle w:val="Collegamentoipertestuale"/>
            <w:sz w:val="18"/>
            <w:szCs w:val="18"/>
          </w:rPr>
          <w:t>pressoffice@veronafiere.it</w:t>
        </w:r>
      </w:hyperlink>
      <w:r w:rsidRPr="001A3ADA">
        <w:rPr>
          <w:sz w:val="18"/>
          <w:szCs w:val="18"/>
        </w:rPr>
        <w:t xml:space="preserve">; </w:t>
      </w:r>
    </w:p>
    <w:p w14:paraId="49352288" w14:textId="58B683E2" w:rsidR="00850896" w:rsidRPr="00850896" w:rsidRDefault="00850896" w:rsidP="00850896">
      <w:pPr>
        <w:spacing w:after="0" w:line="23" w:lineRule="atLeast"/>
        <w:rPr>
          <w:rStyle w:val="Collegamentoipertestuale"/>
          <w:color w:val="auto"/>
          <w:sz w:val="18"/>
          <w:szCs w:val="18"/>
          <w:u w:val="none"/>
          <w:lang w:val="en-US"/>
        </w:rPr>
      </w:pPr>
      <w:r w:rsidRPr="001A3ADA">
        <w:rPr>
          <w:sz w:val="18"/>
          <w:szCs w:val="18"/>
          <w:lang w:val="en-US"/>
        </w:rPr>
        <w:t>Twitter: @pressVRfiere | Facebook: @veronafiere</w:t>
      </w:r>
      <w:r>
        <w:rPr>
          <w:sz w:val="18"/>
          <w:szCs w:val="18"/>
          <w:lang w:val="en-US"/>
        </w:rPr>
        <w:t xml:space="preserve"> I </w:t>
      </w:r>
      <w:r w:rsidRPr="001A3ADA">
        <w:rPr>
          <w:sz w:val="18"/>
          <w:szCs w:val="18"/>
          <w:lang w:val="en-US"/>
        </w:rPr>
        <w:t xml:space="preserve">Web: </w:t>
      </w:r>
      <w:hyperlink r:id="rId12" w:history="1">
        <w:r w:rsidRPr="001A3ADA">
          <w:rPr>
            <w:rStyle w:val="Collegamentoipertestuale"/>
            <w:sz w:val="18"/>
            <w:szCs w:val="18"/>
            <w:lang w:val="en-US"/>
          </w:rPr>
          <w:t>www.veronafiere.it</w:t>
        </w:r>
      </w:hyperlink>
    </w:p>
    <w:p w14:paraId="7A4A3071" w14:textId="77777777" w:rsidR="00850896" w:rsidRPr="00850896" w:rsidRDefault="00850896">
      <w:pPr>
        <w:jc w:val="both"/>
        <w:rPr>
          <w:lang w:val="en-US"/>
        </w:rPr>
      </w:pPr>
    </w:p>
    <w:p w14:paraId="3D98D204" w14:textId="77777777" w:rsidR="00850896" w:rsidRPr="00850896" w:rsidRDefault="00850896" w:rsidP="0085089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850896">
        <w:rPr>
          <w:rFonts w:ascii="Aptos" w:eastAsia="Times New Roman" w:hAnsi="Aptos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 xml:space="preserve">Ufficio stampa Unione italiana Vini: </w:t>
      </w:r>
      <w:proofErr w:type="spellStart"/>
      <w:r w:rsidRPr="00850896">
        <w:rPr>
          <w:rFonts w:ascii="Aptos" w:eastAsia="Times New Roman" w:hAnsi="Aptos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ispropress</w:t>
      </w:r>
      <w:proofErr w:type="spellEnd"/>
    </w:p>
    <w:p w14:paraId="2ABDB4E7" w14:textId="77777777" w:rsidR="00850896" w:rsidRPr="00850896" w:rsidRDefault="00850896" w:rsidP="0085089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850896">
        <w:rPr>
          <w:rFonts w:ascii="Aptos" w:eastAsia="Times New Roman" w:hAnsi="Aptos" w:cs="Times New Roman"/>
          <w:color w:val="000000"/>
          <w:kern w:val="0"/>
          <w:sz w:val="18"/>
          <w:szCs w:val="18"/>
          <w:lang w:eastAsia="it-IT"/>
          <w14:ligatures w14:val="none"/>
        </w:rPr>
        <w:t>Simone Velasco (327.9131676 – simovela@ispropress.it);</w:t>
      </w:r>
    </w:p>
    <w:p w14:paraId="4AD1C667" w14:textId="77777777" w:rsidR="00850896" w:rsidRPr="00850896" w:rsidRDefault="00850896" w:rsidP="0085089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850896">
        <w:rPr>
          <w:rFonts w:ascii="Aptos" w:eastAsia="Times New Roman" w:hAnsi="Aptos" w:cs="Times New Roman"/>
          <w:color w:val="000000"/>
          <w:kern w:val="0"/>
          <w:sz w:val="18"/>
          <w:szCs w:val="18"/>
          <w:lang w:eastAsia="it-IT"/>
          <w14:ligatures w14:val="none"/>
        </w:rPr>
        <w:t>Marta De Carli (393.4554270 – press@ispropress.it)</w:t>
      </w:r>
    </w:p>
    <w:p w14:paraId="6CB53801" w14:textId="77777777" w:rsidR="00850896" w:rsidRPr="00850896" w:rsidRDefault="00850896" w:rsidP="0085089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850896">
        <w:rPr>
          <w:rFonts w:ascii="Aptos" w:eastAsia="Times New Roman" w:hAnsi="Aptos" w:cs="Times New Roman"/>
          <w:color w:val="000000"/>
          <w:kern w:val="0"/>
          <w:sz w:val="18"/>
          <w:szCs w:val="18"/>
          <w:lang w:eastAsia="it-IT"/>
          <w14:ligatures w14:val="none"/>
        </w:rPr>
        <w:t> </w:t>
      </w:r>
    </w:p>
    <w:p w14:paraId="7F326F5A" w14:textId="77777777" w:rsidR="00850896" w:rsidRPr="00850896" w:rsidRDefault="00850896" w:rsidP="0085089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850896">
        <w:rPr>
          <w:rFonts w:ascii="Aptos" w:eastAsia="Times New Roman" w:hAnsi="Aptos" w:cs="Times New Roman"/>
          <w:b/>
          <w:bCs/>
          <w:color w:val="000000"/>
          <w:kern w:val="0"/>
          <w:sz w:val="18"/>
          <w:szCs w:val="18"/>
          <w:lang w:eastAsia="it-IT"/>
          <w14:ligatures w14:val="none"/>
        </w:rPr>
        <w:t>Ufficio stampa Fipe</w:t>
      </w:r>
    </w:p>
    <w:p w14:paraId="4CE6CC9A" w14:textId="77777777" w:rsidR="00850896" w:rsidRPr="00850896" w:rsidRDefault="00850896" w:rsidP="00850896">
      <w:pPr>
        <w:shd w:val="clear" w:color="auto" w:fill="FFFFFF"/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18"/>
          <w:szCs w:val="18"/>
          <w:lang w:eastAsia="it-IT"/>
          <w14:ligatures w14:val="none"/>
        </w:rPr>
      </w:pPr>
      <w:r w:rsidRPr="00850896">
        <w:rPr>
          <w:rFonts w:ascii="Aptos" w:eastAsia="Times New Roman" w:hAnsi="Aptos" w:cs="Times New Roman"/>
          <w:color w:val="000000"/>
          <w:kern w:val="0"/>
          <w:sz w:val="18"/>
          <w:szCs w:val="18"/>
          <w:lang w:eastAsia="it-IT"/>
          <w14:ligatures w14:val="none"/>
        </w:rPr>
        <w:t>Gianluca Giordano (gianluca.giordano@fipe.it)</w:t>
      </w:r>
    </w:p>
    <w:p w14:paraId="7DCA2D42" w14:textId="77777777" w:rsidR="00850896" w:rsidRPr="00011504" w:rsidRDefault="00850896">
      <w:pPr>
        <w:jc w:val="both"/>
      </w:pPr>
    </w:p>
    <w:sectPr w:rsidR="00850896" w:rsidRPr="00011504" w:rsidSect="008C1819">
      <w:headerReference w:type="default" r:id="rId13"/>
      <w:pgSz w:w="11906" w:h="16838"/>
      <w:pgMar w:top="1417" w:right="1134" w:bottom="1134" w:left="1134" w:header="708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6292" w14:textId="77777777" w:rsidR="001F20EE" w:rsidRDefault="001F20EE" w:rsidP="00734BA4">
      <w:pPr>
        <w:spacing w:after="0" w:line="240" w:lineRule="auto"/>
      </w:pPr>
      <w:r>
        <w:separator/>
      </w:r>
    </w:p>
  </w:endnote>
  <w:endnote w:type="continuationSeparator" w:id="0">
    <w:p w14:paraId="0D2FB021" w14:textId="77777777" w:rsidR="001F20EE" w:rsidRDefault="001F20EE" w:rsidP="0073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39FC" w14:textId="77777777" w:rsidR="001F20EE" w:rsidRDefault="001F20EE" w:rsidP="00734BA4">
      <w:pPr>
        <w:spacing w:after="0" w:line="240" w:lineRule="auto"/>
      </w:pPr>
      <w:r>
        <w:separator/>
      </w:r>
    </w:p>
  </w:footnote>
  <w:footnote w:type="continuationSeparator" w:id="0">
    <w:p w14:paraId="6E614327" w14:textId="77777777" w:rsidR="001F20EE" w:rsidRDefault="001F20EE" w:rsidP="00734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734BA4" w14:paraId="11B0B443" w14:textId="77777777" w:rsidTr="00215396">
      <w:tc>
        <w:tcPr>
          <w:tcW w:w="3209" w:type="dxa"/>
        </w:tcPr>
        <w:p w14:paraId="724E7936" w14:textId="77777777" w:rsidR="00734BA4" w:rsidRDefault="00734BA4" w:rsidP="00734BA4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3002902" wp14:editId="7832142E">
                <wp:extent cx="876108" cy="1080000"/>
                <wp:effectExtent l="0" t="0" r="635" b="6350"/>
                <wp:docPr id="167486119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6264234" name="Immagine 184626423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108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9" w:type="dxa"/>
        </w:tcPr>
        <w:p w14:paraId="478D016E" w14:textId="77777777" w:rsidR="00734BA4" w:rsidRDefault="00734BA4" w:rsidP="00734BA4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43D1C7A" wp14:editId="277A4039">
                <wp:extent cx="1383445" cy="900000"/>
                <wp:effectExtent l="0" t="0" r="7620" b="0"/>
                <wp:docPr id="153903197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2551222" name="Immagine 124255122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44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14:paraId="077CB9B2" w14:textId="77777777" w:rsidR="00734BA4" w:rsidRDefault="00734BA4" w:rsidP="00734BA4">
          <w:pPr>
            <w:pStyle w:val="Intestazione"/>
            <w:jc w:val="center"/>
          </w:pPr>
        </w:p>
        <w:p w14:paraId="56ECA83F" w14:textId="77777777" w:rsidR="00734BA4" w:rsidRPr="004C23F9" w:rsidRDefault="00734BA4" w:rsidP="00734BA4">
          <w:pPr>
            <w:pStyle w:val="Intestazione"/>
            <w:jc w:val="right"/>
            <w:rPr>
              <w:color w:val="A6A6A6" w:themeColor="background1" w:themeShade="A6"/>
            </w:rPr>
          </w:pPr>
          <w:r w:rsidRPr="004C23F9">
            <w:rPr>
              <w:color w:val="A6A6A6" w:themeColor="background1" w:themeShade="A6"/>
            </w:rPr>
            <w:t>In collaborazione con:</w:t>
          </w:r>
        </w:p>
        <w:p w14:paraId="4FFF56C5" w14:textId="77777777" w:rsidR="00734BA4" w:rsidRDefault="00734BA4" w:rsidP="00734BA4">
          <w:pPr>
            <w:pStyle w:val="Intestazione"/>
            <w:jc w:val="right"/>
          </w:pPr>
          <w:r>
            <w:rPr>
              <w:b/>
              <w:bCs/>
              <w:noProof/>
              <w:sz w:val="24"/>
              <w:szCs w:val="24"/>
              <w:lang w:eastAsia="it-IT"/>
            </w:rPr>
            <w:drawing>
              <wp:inline distT="0" distB="0" distL="0" distR="0" wp14:anchorId="17FEA4A0" wp14:editId="1EFE4067">
                <wp:extent cx="1217930" cy="524510"/>
                <wp:effectExtent l="0" t="0" r="1270" b="8890"/>
                <wp:docPr id="542493224" name="Immagine 5424932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2310DD-FCA9-4294-BC4F-B0A2CF4544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6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93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ED6A71" w14:textId="77777777" w:rsidR="00734BA4" w:rsidRDefault="00734B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6733A"/>
    <w:multiLevelType w:val="hybridMultilevel"/>
    <w:tmpl w:val="E912F470"/>
    <w:lvl w:ilvl="0" w:tplc="D8D4DB7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11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29"/>
    <w:rsid w:val="00002678"/>
    <w:rsid w:val="000053D7"/>
    <w:rsid w:val="00011504"/>
    <w:rsid w:val="0002080B"/>
    <w:rsid w:val="00025C8D"/>
    <w:rsid w:val="00032636"/>
    <w:rsid w:val="000469A2"/>
    <w:rsid w:val="00047A3B"/>
    <w:rsid w:val="000532E1"/>
    <w:rsid w:val="000537F0"/>
    <w:rsid w:val="00057531"/>
    <w:rsid w:val="000638C6"/>
    <w:rsid w:val="00066EEB"/>
    <w:rsid w:val="000810CD"/>
    <w:rsid w:val="000A7D51"/>
    <w:rsid w:val="000B4898"/>
    <w:rsid w:val="000B50AD"/>
    <w:rsid w:val="000F0E57"/>
    <w:rsid w:val="000F1524"/>
    <w:rsid w:val="000F6614"/>
    <w:rsid w:val="00101607"/>
    <w:rsid w:val="0010360B"/>
    <w:rsid w:val="001353C1"/>
    <w:rsid w:val="00137569"/>
    <w:rsid w:val="00153977"/>
    <w:rsid w:val="00160149"/>
    <w:rsid w:val="00163F56"/>
    <w:rsid w:val="001825B7"/>
    <w:rsid w:val="00182D43"/>
    <w:rsid w:val="0018567E"/>
    <w:rsid w:val="001B0CFC"/>
    <w:rsid w:val="001D20F6"/>
    <w:rsid w:val="001D6F57"/>
    <w:rsid w:val="001D7E9A"/>
    <w:rsid w:val="001E1CAC"/>
    <w:rsid w:val="001E3A4B"/>
    <w:rsid w:val="001E7CDE"/>
    <w:rsid w:val="001F20EE"/>
    <w:rsid w:val="001F64B9"/>
    <w:rsid w:val="00204252"/>
    <w:rsid w:val="002166FF"/>
    <w:rsid w:val="00221EC1"/>
    <w:rsid w:val="00257D95"/>
    <w:rsid w:val="00263291"/>
    <w:rsid w:val="00264C98"/>
    <w:rsid w:val="002736FA"/>
    <w:rsid w:val="00273FA9"/>
    <w:rsid w:val="00284121"/>
    <w:rsid w:val="00290386"/>
    <w:rsid w:val="002A42F9"/>
    <w:rsid w:val="002A5CED"/>
    <w:rsid w:val="002A7960"/>
    <w:rsid w:val="002B78D0"/>
    <w:rsid w:val="002D6363"/>
    <w:rsid w:val="002E062E"/>
    <w:rsid w:val="002E5DBF"/>
    <w:rsid w:val="002F6554"/>
    <w:rsid w:val="0031079F"/>
    <w:rsid w:val="00312E77"/>
    <w:rsid w:val="0031460E"/>
    <w:rsid w:val="003157C4"/>
    <w:rsid w:val="003279B7"/>
    <w:rsid w:val="00333ACC"/>
    <w:rsid w:val="00336B31"/>
    <w:rsid w:val="00345E11"/>
    <w:rsid w:val="00354FAB"/>
    <w:rsid w:val="003579F5"/>
    <w:rsid w:val="00366571"/>
    <w:rsid w:val="00383505"/>
    <w:rsid w:val="00384426"/>
    <w:rsid w:val="003854FC"/>
    <w:rsid w:val="003C61B8"/>
    <w:rsid w:val="003D286D"/>
    <w:rsid w:val="003E2C82"/>
    <w:rsid w:val="003F41A6"/>
    <w:rsid w:val="003F7AC4"/>
    <w:rsid w:val="00405A46"/>
    <w:rsid w:val="004062D1"/>
    <w:rsid w:val="00406C7D"/>
    <w:rsid w:val="00410B75"/>
    <w:rsid w:val="004140B6"/>
    <w:rsid w:val="00446064"/>
    <w:rsid w:val="00450119"/>
    <w:rsid w:val="00464F68"/>
    <w:rsid w:val="00481330"/>
    <w:rsid w:val="0048768A"/>
    <w:rsid w:val="0049207C"/>
    <w:rsid w:val="004A1009"/>
    <w:rsid w:val="004C23F9"/>
    <w:rsid w:val="004D5861"/>
    <w:rsid w:val="004F3085"/>
    <w:rsid w:val="004F49C8"/>
    <w:rsid w:val="00514E63"/>
    <w:rsid w:val="005330AE"/>
    <w:rsid w:val="00536586"/>
    <w:rsid w:val="00544226"/>
    <w:rsid w:val="00546089"/>
    <w:rsid w:val="005517AC"/>
    <w:rsid w:val="00571422"/>
    <w:rsid w:val="00572B38"/>
    <w:rsid w:val="005849E2"/>
    <w:rsid w:val="00587E47"/>
    <w:rsid w:val="00593CBC"/>
    <w:rsid w:val="00595246"/>
    <w:rsid w:val="005A1151"/>
    <w:rsid w:val="005A3452"/>
    <w:rsid w:val="005A5B1F"/>
    <w:rsid w:val="005C5A90"/>
    <w:rsid w:val="005C7AF3"/>
    <w:rsid w:val="005F473C"/>
    <w:rsid w:val="005F694D"/>
    <w:rsid w:val="005F72A2"/>
    <w:rsid w:val="00600922"/>
    <w:rsid w:val="00601BF4"/>
    <w:rsid w:val="00611A92"/>
    <w:rsid w:val="00613A47"/>
    <w:rsid w:val="00622ACC"/>
    <w:rsid w:val="006436DC"/>
    <w:rsid w:val="00645236"/>
    <w:rsid w:val="00650E04"/>
    <w:rsid w:val="00654787"/>
    <w:rsid w:val="00660554"/>
    <w:rsid w:val="00673EAC"/>
    <w:rsid w:val="00683E27"/>
    <w:rsid w:val="006852DF"/>
    <w:rsid w:val="0069164E"/>
    <w:rsid w:val="00697AED"/>
    <w:rsid w:val="006A0A46"/>
    <w:rsid w:val="006A50A7"/>
    <w:rsid w:val="006A71B6"/>
    <w:rsid w:val="006B3935"/>
    <w:rsid w:val="006C0FB2"/>
    <w:rsid w:val="006D0BA3"/>
    <w:rsid w:val="006D2124"/>
    <w:rsid w:val="006D6FAE"/>
    <w:rsid w:val="006E17D9"/>
    <w:rsid w:val="006F1A07"/>
    <w:rsid w:val="006F6F93"/>
    <w:rsid w:val="007064A4"/>
    <w:rsid w:val="00706622"/>
    <w:rsid w:val="007074D0"/>
    <w:rsid w:val="00715BA8"/>
    <w:rsid w:val="00734BA4"/>
    <w:rsid w:val="00735F29"/>
    <w:rsid w:val="00745005"/>
    <w:rsid w:val="007645D3"/>
    <w:rsid w:val="00764BBB"/>
    <w:rsid w:val="00765802"/>
    <w:rsid w:val="007706A9"/>
    <w:rsid w:val="007A46CD"/>
    <w:rsid w:val="007C3D86"/>
    <w:rsid w:val="007C4BF7"/>
    <w:rsid w:val="007D66D0"/>
    <w:rsid w:val="00811933"/>
    <w:rsid w:val="00812FB5"/>
    <w:rsid w:val="00816053"/>
    <w:rsid w:val="00817826"/>
    <w:rsid w:val="00835E8B"/>
    <w:rsid w:val="00841CF8"/>
    <w:rsid w:val="00845E08"/>
    <w:rsid w:val="0085081E"/>
    <w:rsid w:val="00850896"/>
    <w:rsid w:val="00872BEF"/>
    <w:rsid w:val="0088072E"/>
    <w:rsid w:val="00887B58"/>
    <w:rsid w:val="008A2B91"/>
    <w:rsid w:val="008A4EA5"/>
    <w:rsid w:val="008B5A88"/>
    <w:rsid w:val="008B6789"/>
    <w:rsid w:val="008C0397"/>
    <w:rsid w:val="008C1819"/>
    <w:rsid w:val="008C1937"/>
    <w:rsid w:val="008C2B89"/>
    <w:rsid w:val="008C57C9"/>
    <w:rsid w:val="008D2AB7"/>
    <w:rsid w:val="008D6CF9"/>
    <w:rsid w:val="0090229D"/>
    <w:rsid w:val="00921348"/>
    <w:rsid w:val="00931228"/>
    <w:rsid w:val="00944C82"/>
    <w:rsid w:val="00951A80"/>
    <w:rsid w:val="00953656"/>
    <w:rsid w:val="009664AE"/>
    <w:rsid w:val="00967A40"/>
    <w:rsid w:val="009C3887"/>
    <w:rsid w:val="009D29F7"/>
    <w:rsid w:val="009E099A"/>
    <w:rsid w:val="009E2687"/>
    <w:rsid w:val="009F1E48"/>
    <w:rsid w:val="009F53BE"/>
    <w:rsid w:val="00A046A9"/>
    <w:rsid w:val="00A15E96"/>
    <w:rsid w:val="00A1621D"/>
    <w:rsid w:val="00A26320"/>
    <w:rsid w:val="00A42707"/>
    <w:rsid w:val="00A61D59"/>
    <w:rsid w:val="00A66E72"/>
    <w:rsid w:val="00A84462"/>
    <w:rsid w:val="00AB5122"/>
    <w:rsid w:val="00AC068A"/>
    <w:rsid w:val="00AE2D02"/>
    <w:rsid w:val="00AF0D7D"/>
    <w:rsid w:val="00B0393D"/>
    <w:rsid w:val="00B27ADD"/>
    <w:rsid w:val="00B328D1"/>
    <w:rsid w:val="00B3666D"/>
    <w:rsid w:val="00B36E1A"/>
    <w:rsid w:val="00B46C31"/>
    <w:rsid w:val="00B552F0"/>
    <w:rsid w:val="00B64AA4"/>
    <w:rsid w:val="00B67A60"/>
    <w:rsid w:val="00B72DD1"/>
    <w:rsid w:val="00B7350F"/>
    <w:rsid w:val="00B73B44"/>
    <w:rsid w:val="00B83766"/>
    <w:rsid w:val="00B85F99"/>
    <w:rsid w:val="00B8674E"/>
    <w:rsid w:val="00B9513C"/>
    <w:rsid w:val="00BA0D4E"/>
    <w:rsid w:val="00BA1645"/>
    <w:rsid w:val="00BA614F"/>
    <w:rsid w:val="00BA7648"/>
    <w:rsid w:val="00BB0C1E"/>
    <w:rsid w:val="00BB0D85"/>
    <w:rsid w:val="00BC6508"/>
    <w:rsid w:val="00BD41C2"/>
    <w:rsid w:val="00BE3F61"/>
    <w:rsid w:val="00C13442"/>
    <w:rsid w:val="00C21630"/>
    <w:rsid w:val="00C24ED9"/>
    <w:rsid w:val="00C45975"/>
    <w:rsid w:val="00C82971"/>
    <w:rsid w:val="00CB5738"/>
    <w:rsid w:val="00D13622"/>
    <w:rsid w:val="00D163A2"/>
    <w:rsid w:val="00D246DD"/>
    <w:rsid w:val="00D355A9"/>
    <w:rsid w:val="00D35FC7"/>
    <w:rsid w:val="00D423DC"/>
    <w:rsid w:val="00D44EBE"/>
    <w:rsid w:val="00D50464"/>
    <w:rsid w:val="00D51ABC"/>
    <w:rsid w:val="00D627EE"/>
    <w:rsid w:val="00D70D1C"/>
    <w:rsid w:val="00D72A1A"/>
    <w:rsid w:val="00D77B88"/>
    <w:rsid w:val="00DA2001"/>
    <w:rsid w:val="00DA5C3E"/>
    <w:rsid w:val="00DB2148"/>
    <w:rsid w:val="00DC65A3"/>
    <w:rsid w:val="00DD15FF"/>
    <w:rsid w:val="00DD18A6"/>
    <w:rsid w:val="00DE1384"/>
    <w:rsid w:val="00DE3BE6"/>
    <w:rsid w:val="00DE449A"/>
    <w:rsid w:val="00DF03B7"/>
    <w:rsid w:val="00E071E6"/>
    <w:rsid w:val="00E215DF"/>
    <w:rsid w:val="00E277E8"/>
    <w:rsid w:val="00E433AB"/>
    <w:rsid w:val="00E52E40"/>
    <w:rsid w:val="00E77DE4"/>
    <w:rsid w:val="00E81341"/>
    <w:rsid w:val="00E91F6B"/>
    <w:rsid w:val="00EA39BB"/>
    <w:rsid w:val="00EA6DBA"/>
    <w:rsid w:val="00EC042F"/>
    <w:rsid w:val="00EC2675"/>
    <w:rsid w:val="00ED663E"/>
    <w:rsid w:val="00EE27FD"/>
    <w:rsid w:val="00EE7B88"/>
    <w:rsid w:val="00EF0AC6"/>
    <w:rsid w:val="00EF1C9D"/>
    <w:rsid w:val="00F00A96"/>
    <w:rsid w:val="00F05400"/>
    <w:rsid w:val="00F110B3"/>
    <w:rsid w:val="00F12144"/>
    <w:rsid w:val="00F20918"/>
    <w:rsid w:val="00F40052"/>
    <w:rsid w:val="00F4310E"/>
    <w:rsid w:val="00F62E38"/>
    <w:rsid w:val="00F67BC8"/>
    <w:rsid w:val="00F72713"/>
    <w:rsid w:val="00F73F1A"/>
    <w:rsid w:val="00F848FA"/>
    <w:rsid w:val="00F8776D"/>
    <w:rsid w:val="00F9060F"/>
    <w:rsid w:val="00F9179A"/>
    <w:rsid w:val="00F918C3"/>
    <w:rsid w:val="00F92107"/>
    <w:rsid w:val="00FA100C"/>
    <w:rsid w:val="00FA2F6B"/>
    <w:rsid w:val="00FA4BAD"/>
    <w:rsid w:val="00FB2C61"/>
    <w:rsid w:val="00FB4A09"/>
    <w:rsid w:val="00FB7F23"/>
    <w:rsid w:val="00FC7CFE"/>
    <w:rsid w:val="00FE0940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25AD7"/>
  <w15:docId w15:val="{87A6C1AC-61C7-4B91-BCD3-F9E82243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F29"/>
  </w:style>
  <w:style w:type="paragraph" w:styleId="Titolo1">
    <w:name w:val="heading 1"/>
    <w:basedOn w:val="Normale"/>
    <w:next w:val="Normale"/>
    <w:link w:val="Titolo1Carattere"/>
    <w:uiPriority w:val="9"/>
    <w:qFormat/>
    <w:rsid w:val="0073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5F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5F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5F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5F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5F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5F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5F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5F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5F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5F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5F29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B72DD1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34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BA4"/>
  </w:style>
  <w:style w:type="paragraph" w:styleId="Pidipagina">
    <w:name w:val="footer"/>
    <w:basedOn w:val="Normale"/>
    <w:link w:val="PidipaginaCarattere"/>
    <w:uiPriority w:val="99"/>
    <w:unhideWhenUsed/>
    <w:rsid w:val="00734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BA4"/>
  </w:style>
  <w:style w:type="table" w:styleId="Grigliatabella">
    <w:name w:val="Table Grid"/>
    <w:basedOn w:val="Tabellanormale"/>
    <w:uiPriority w:val="39"/>
    <w:rsid w:val="0073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B8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508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ronafier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office@veronafier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F698-3A28-4214-B261-816D4D5FE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BBAAE-3259-4995-9816-2E73440BE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4F89D-FA6D-4CE1-96B0-8523A960D4C6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4.xml><?xml version="1.0" encoding="utf-8"?>
<ds:datastoreItem xmlns:ds="http://schemas.openxmlformats.org/officeDocument/2006/customXml" ds:itemID="{1B6119DD-2810-4177-9841-B301BC48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 Carli</dc:creator>
  <cp:keywords/>
  <dc:description/>
  <cp:lastModifiedBy>Benny Lonardi</cp:lastModifiedBy>
  <cp:revision>2</cp:revision>
  <dcterms:created xsi:type="dcterms:W3CDTF">2026-04-13T10:57:00Z</dcterms:created>
  <dcterms:modified xsi:type="dcterms:W3CDTF">2026-04-13T10:57:00Z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