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EE66" w14:textId="77777777" w:rsidR="00776D8B" w:rsidRPr="0016447B" w:rsidRDefault="00776D8B" w:rsidP="00776D8B">
      <w:pPr>
        <w:rPr>
          <w:rFonts w:ascii="Calibri" w:hAnsi="Calibri" w:cs="Calibri"/>
          <w:kern w:val="0"/>
          <w:sz w:val="20"/>
          <w:szCs w:val="20"/>
          <w:lang w:val="en-GB"/>
        </w:rPr>
      </w:pPr>
      <w:r w:rsidRPr="0016447B">
        <w:rPr>
          <w:rFonts w:ascii="Calibri" w:hAnsi="Calibri" w:cs="Calibri"/>
          <w:kern w:val="0"/>
          <w:sz w:val="20"/>
          <w:szCs w:val="20"/>
          <w:lang w:val="en-GB"/>
        </w:rPr>
        <w:drawing>
          <wp:inline distT="0" distB="0" distL="0" distR="0" wp14:anchorId="39ACA324" wp14:editId="2EFB7565">
            <wp:extent cx="5980430" cy="524510"/>
            <wp:effectExtent l="0" t="0" r="1270" b="8890"/>
            <wp:docPr id="1" name="Immagine 1">
              <a:extLst xmlns:a="http://schemas.openxmlformats.org/drawingml/2006/main">
                <a:ext uri="{FF2B5EF4-FFF2-40B4-BE49-F238E27FC236}">
                  <a16:creationId xmlns:a16="http://schemas.microsoft.com/office/drawing/2014/main" id="{F62310DD-FCA9-4294-BC4F-B0A2CF4544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360F78CA" w14:textId="77777777" w:rsidR="00776D8B" w:rsidRPr="0016447B" w:rsidRDefault="00776D8B" w:rsidP="00776D8B">
      <w:pPr>
        <w:rPr>
          <w:rFonts w:ascii="Calibri" w:hAnsi="Calibri" w:cs="Calibri"/>
          <w:kern w:val="0"/>
          <w:sz w:val="20"/>
          <w:szCs w:val="20"/>
          <w:lang w:val="en-GB"/>
        </w:rPr>
      </w:pPr>
    </w:p>
    <w:p w14:paraId="0A99A248" w14:textId="77777777" w:rsidR="00776D8B" w:rsidRPr="0016447B" w:rsidRDefault="00776D8B" w:rsidP="00776D8B">
      <w:pPr>
        <w:rPr>
          <w:rFonts w:ascii="Calibri" w:hAnsi="Calibri" w:cs="Calibri"/>
          <w:kern w:val="0"/>
          <w:sz w:val="20"/>
          <w:szCs w:val="20"/>
          <w:lang w:val="en-GB"/>
        </w:rPr>
      </w:pPr>
    </w:p>
    <w:p w14:paraId="42F36B7D" w14:textId="77777777" w:rsidR="00776D8B" w:rsidRPr="0016447B" w:rsidRDefault="00776D8B" w:rsidP="00776D8B">
      <w:pPr>
        <w:jc w:val="center"/>
        <w:rPr>
          <w:rFonts w:ascii="Calibri" w:hAnsi="Calibri" w:cs="Calibri"/>
          <w:b/>
          <w:bCs/>
          <w:kern w:val="0"/>
          <w:sz w:val="22"/>
          <w:szCs w:val="22"/>
          <w:lang w:val="en-GB"/>
        </w:rPr>
      </w:pPr>
      <w:r w:rsidRPr="0016447B">
        <w:rPr>
          <w:rFonts w:ascii="Calibri" w:hAnsi="Calibri" w:cs="Calibri"/>
          <w:b/>
          <w:bCs/>
          <w:kern w:val="0"/>
          <w:sz w:val="22"/>
          <w:szCs w:val="22"/>
          <w:lang w:val="en-GB"/>
        </w:rPr>
        <w:t>VINITALY TOURISM: A CONVINCING EXPERIENCE CONFIRMING WINE TOURISM AS ONE OF THE STRATEGIC ASSETS FOR ITALIAN WINE</w:t>
      </w:r>
    </w:p>
    <w:p w14:paraId="0F6F7141" w14:textId="77777777" w:rsidR="00776D8B" w:rsidRPr="0016447B" w:rsidRDefault="00776D8B" w:rsidP="00776D8B">
      <w:pPr>
        <w:rPr>
          <w:rFonts w:ascii="Calibri" w:hAnsi="Calibri" w:cs="Calibri"/>
          <w:kern w:val="0"/>
          <w:sz w:val="20"/>
          <w:szCs w:val="20"/>
          <w:lang w:val="en-GB"/>
        </w:rPr>
      </w:pPr>
    </w:p>
    <w:p w14:paraId="41589218" w14:textId="77777777" w:rsidR="00776D8B" w:rsidRPr="0016447B" w:rsidRDefault="00776D8B" w:rsidP="00776D8B">
      <w:pPr>
        <w:pStyle w:val="NormaleWeb"/>
        <w:jc w:val="both"/>
        <w:rPr>
          <w:rFonts w:ascii="Calibri" w:hAnsi="Calibri" w:cs="Calibri"/>
          <w:bCs/>
          <w:sz w:val="20"/>
          <w:szCs w:val="20"/>
          <w:lang w:val="en-GB"/>
        </w:rPr>
      </w:pPr>
      <w:r w:rsidRPr="0016447B">
        <w:rPr>
          <w:rFonts w:ascii="Calibri" w:hAnsi="Calibri" w:cs="Calibri"/>
          <w:b/>
          <w:bCs/>
          <w:sz w:val="20"/>
          <w:szCs w:val="20"/>
          <w:lang w:val="en-GB"/>
        </w:rPr>
        <w:t xml:space="preserve">Verona 14 April 2026. </w:t>
      </w:r>
      <w:r w:rsidRPr="0016447B">
        <w:rPr>
          <w:rFonts w:ascii="Calibri" w:hAnsi="Calibri" w:cs="Calibri"/>
          <w:bCs/>
          <w:sz w:val="20"/>
          <w:szCs w:val="20"/>
          <w:lang w:val="en-GB"/>
        </w:rPr>
        <w:t xml:space="preserve">The </w:t>
      </w:r>
      <w:r w:rsidRPr="0016447B">
        <w:rPr>
          <w:rFonts w:ascii="Calibri" w:eastAsiaTheme="majorEastAsia" w:hAnsi="Calibri" w:cs="Calibri"/>
          <w:b/>
          <w:bCs/>
          <w:sz w:val="20"/>
          <w:szCs w:val="20"/>
          <w:lang w:val="en-GB"/>
        </w:rPr>
        <w:t>Vinitaly Tourism</w:t>
      </w:r>
      <w:r w:rsidRPr="0016447B">
        <w:rPr>
          <w:rFonts w:ascii="Calibri" w:hAnsi="Calibri" w:cs="Calibri"/>
          <w:bCs/>
          <w:sz w:val="20"/>
          <w:szCs w:val="20"/>
          <w:lang w:val="en-GB"/>
        </w:rPr>
        <w:t xml:space="preserve"> experience continues with great success. The project promoted by </w:t>
      </w:r>
      <w:r w:rsidRPr="0016447B">
        <w:rPr>
          <w:rFonts w:ascii="Calibri" w:eastAsiaTheme="majorEastAsia" w:hAnsi="Calibri" w:cs="Calibri"/>
          <w:b/>
          <w:bCs/>
          <w:sz w:val="20"/>
          <w:szCs w:val="20"/>
          <w:lang w:val="en-GB"/>
        </w:rPr>
        <w:t>Vinitaly</w:t>
      </w:r>
      <w:r w:rsidRPr="0016447B">
        <w:rPr>
          <w:rFonts w:ascii="Calibri" w:hAnsi="Calibri" w:cs="Calibri"/>
          <w:b/>
          <w:bCs/>
          <w:sz w:val="20"/>
          <w:szCs w:val="20"/>
          <w:lang w:val="en-GB"/>
        </w:rPr>
        <w:t xml:space="preserve"> </w:t>
      </w:r>
      <w:r w:rsidRPr="0016447B">
        <w:rPr>
          <w:rFonts w:ascii="Calibri" w:hAnsi="Calibri" w:cs="Calibri"/>
          <w:bCs/>
          <w:sz w:val="20"/>
          <w:szCs w:val="20"/>
          <w:lang w:val="en-GB"/>
        </w:rPr>
        <w:t xml:space="preserve"> in collaboration with </w:t>
      </w:r>
      <w:r w:rsidRPr="0016447B">
        <w:rPr>
          <w:rFonts w:ascii="Calibri" w:eastAsiaTheme="majorEastAsia" w:hAnsi="Calibri" w:cs="Calibri"/>
          <w:b/>
          <w:bCs/>
          <w:sz w:val="20"/>
          <w:szCs w:val="20"/>
          <w:lang w:val="en-GB"/>
        </w:rPr>
        <w:t>Wine Tourism Hub</w:t>
      </w:r>
      <w:r w:rsidRPr="0016447B">
        <w:rPr>
          <w:rFonts w:ascii="Calibri" w:hAnsi="Calibri" w:cs="Calibri"/>
          <w:bCs/>
          <w:sz w:val="20"/>
          <w:szCs w:val="20"/>
          <w:lang w:val="en-GB"/>
        </w:rPr>
        <w:t xml:space="preserve">, established itself during the Show as one of the most dynamic and popular landmarks focusing on the evolution of hospitality in wineries, direct-to-consumer sales and new wine tourism perspectives. The area is hosting </w:t>
      </w:r>
      <w:r w:rsidRPr="0016447B">
        <w:rPr>
          <w:rFonts w:ascii="Calibri" w:eastAsiaTheme="majorEastAsia" w:hAnsi="Calibri" w:cs="Calibri"/>
          <w:b/>
          <w:bCs/>
          <w:sz w:val="20"/>
          <w:szCs w:val="20"/>
          <w:lang w:val="en-GB"/>
        </w:rPr>
        <w:t>15 conferences</w:t>
      </w:r>
      <w:r w:rsidRPr="0016447B">
        <w:rPr>
          <w:rFonts w:ascii="Calibri" w:hAnsi="Calibri" w:cs="Calibri"/>
          <w:bCs/>
          <w:sz w:val="20"/>
          <w:szCs w:val="20"/>
          <w:lang w:val="en-GB"/>
        </w:rPr>
        <w:t>,</w:t>
      </w:r>
      <w:r w:rsidRPr="0016447B">
        <w:rPr>
          <w:rFonts w:ascii="Calibri" w:eastAsiaTheme="majorEastAsia" w:hAnsi="Calibri" w:cs="Calibri"/>
          <w:b/>
          <w:bCs/>
          <w:sz w:val="20"/>
          <w:szCs w:val="20"/>
          <w:lang w:val="en-GB"/>
        </w:rPr>
        <w:t xml:space="preserve"> 30 experiential tastings</w:t>
      </w:r>
      <w:r w:rsidRPr="0016447B">
        <w:rPr>
          <w:rFonts w:ascii="Calibri" w:hAnsi="Calibri" w:cs="Calibri"/>
          <w:b/>
          <w:bCs/>
          <w:sz w:val="20"/>
          <w:szCs w:val="20"/>
          <w:lang w:val="en-GB"/>
        </w:rPr>
        <w:t xml:space="preserve"> </w:t>
      </w:r>
      <w:r w:rsidRPr="0016447B">
        <w:rPr>
          <w:rFonts w:ascii="Calibri" w:hAnsi="Calibri" w:cs="Calibri"/>
          <w:bCs/>
          <w:sz w:val="20"/>
          <w:szCs w:val="20"/>
          <w:lang w:val="en-GB"/>
        </w:rPr>
        <w:t xml:space="preserve"> and daily networking events, confirming how wine tourism is by now one of the most recurring and relevant buzzwords in the sector and increasingly recognized as a strategic lever for the competitiveness and growth of wineries.</w:t>
      </w:r>
    </w:p>
    <w:p w14:paraId="7DE9877E" w14:textId="77777777" w:rsidR="00776D8B" w:rsidRPr="0016447B" w:rsidRDefault="00776D8B" w:rsidP="00776D8B">
      <w:pPr>
        <w:pStyle w:val="NormaleWeb"/>
        <w:jc w:val="both"/>
        <w:rPr>
          <w:rFonts w:ascii="Calibri" w:hAnsi="Calibri" w:cs="Calibri"/>
          <w:sz w:val="20"/>
          <w:szCs w:val="20"/>
          <w:lang w:val="en-GB"/>
        </w:rPr>
      </w:pPr>
      <w:r w:rsidRPr="0016447B">
        <w:rPr>
          <w:rFonts w:ascii="Calibri" w:hAnsi="Calibri" w:cs="Calibri"/>
          <w:sz w:val="20"/>
          <w:szCs w:val="20"/>
          <w:lang w:val="en-GB"/>
        </w:rPr>
        <w:t xml:space="preserve">An initial aspect that came firmly to the fore during </w:t>
      </w:r>
      <w:r w:rsidRPr="0016447B">
        <w:rPr>
          <w:rFonts w:ascii="Calibri" w:eastAsiaTheme="majorEastAsia" w:hAnsi="Calibri" w:cs="Calibri"/>
          <w:b/>
          <w:bCs/>
          <w:sz w:val="20"/>
          <w:szCs w:val="20"/>
          <w:lang w:val="en-GB"/>
        </w:rPr>
        <w:t>Vinitaly Tourism</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concerns the role of </w:t>
      </w:r>
      <w:r w:rsidRPr="0016447B">
        <w:rPr>
          <w:rFonts w:ascii="Calibri" w:eastAsiaTheme="majorEastAsia" w:hAnsi="Calibri" w:cs="Calibri"/>
          <w:b/>
          <w:bCs/>
          <w:sz w:val="20"/>
          <w:szCs w:val="20"/>
          <w:lang w:val="en-GB"/>
        </w:rPr>
        <w:t>hospitality managers</w:t>
      </w:r>
      <w:r w:rsidRPr="0016447B">
        <w:rPr>
          <w:rFonts w:ascii="Calibri" w:hAnsi="Calibri" w:cs="Calibri"/>
          <w:sz w:val="20"/>
          <w:szCs w:val="20"/>
          <w:lang w:val="en-GB"/>
        </w:rPr>
        <w:t xml:space="preserve">, the protagonists of a national survey involving </w:t>
      </w:r>
      <w:r w:rsidRPr="0016447B">
        <w:rPr>
          <w:rFonts w:ascii="Calibri" w:eastAsiaTheme="majorEastAsia" w:hAnsi="Calibri" w:cs="Calibri"/>
          <w:b/>
          <w:bCs/>
          <w:sz w:val="20"/>
          <w:szCs w:val="20"/>
          <w:lang w:val="en-GB"/>
        </w:rPr>
        <w:t>176 professionals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in Italian wine tourism. The survey clearly shows that the main challenge facing wineries today is how to </w:t>
      </w:r>
      <w:r w:rsidRPr="0016447B">
        <w:rPr>
          <w:rFonts w:ascii="Calibri" w:eastAsiaTheme="majorEastAsia" w:hAnsi="Calibri" w:cs="Calibri"/>
          <w:b/>
          <w:bCs/>
          <w:sz w:val="20"/>
          <w:szCs w:val="20"/>
          <w:lang w:val="en-GB"/>
        </w:rPr>
        <w:t>bring tourists to the cellar</w:t>
      </w:r>
      <w:r w:rsidRPr="0016447B">
        <w:rPr>
          <w:rFonts w:ascii="Calibri" w:hAnsi="Calibri" w:cs="Calibri"/>
          <w:sz w:val="20"/>
          <w:szCs w:val="20"/>
          <w:lang w:val="en-GB"/>
        </w:rPr>
        <w:t xml:space="preserve">, indicated by </w:t>
      </w:r>
      <w:r w:rsidRPr="0016447B">
        <w:rPr>
          <w:rFonts w:ascii="Calibri" w:eastAsiaTheme="majorEastAsia" w:hAnsi="Calibri" w:cs="Calibri"/>
          <w:b/>
          <w:bCs/>
          <w:sz w:val="20"/>
          <w:szCs w:val="20"/>
          <w:lang w:val="en-GB"/>
        </w:rPr>
        <w:t>36.8%</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of respondents. The main obstacles to the development of wine tourism include </w:t>
      </w:r>
      <w:r w:rsidRPr="0016447B">
        <w:rPr>
          <w:rFonts w:ascii="Calibri" w:eastAsiaTheme="majorEastAsia" w:hAnsi="Calibri" w:cs="Calibri"/>
          <w:b/>
          <w:bCs/>
          <w:sz w:val="20"/>
          <w:szCs w:val="20"/>
          <w:lang w:val="en-GB"/>
        </w:rPr>
        <w:t>financial resources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w:t>
      </w:r>
      <w:r w:rsidRPr="0016447B">
        <w:rPr>
          <w:rFonts w:ascii="Calibri" w:eastAsiaTheme="majorEastAsia" w:hAnsi="Calibri" w:cs="Calibri"/>
          <w:b/>
          <w:bCs/>
          <w:sz w:val="20"/>
          <w:szCs w:val="20"/>
          <w:lang w:val="en-GB"/>
        </w:rPr>
        <w:t>31.6</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and the need to develop more </w:t>
      </w:r>
      <w:r w:rsidRPr="0016447B">
        <w:rPr>
          <w:rFonts w:ascii="Calibri" w:eastAsiaTheme="majorEastAsia" w:hAnsi="Calibri" w:cs="Calibri"/>
          <w:b/>
          <w:bCs/>
          <w:sz w:val="20"/>
          <w:szCs w:val="20"/>
          <w:lang w:val="en-GB"/>
        </w:rPr>
        <w:t>collaborations with local authorities</w:t>
      </w:r>
      <w:r w:rsidRPr="0016447B">
        <w:rPr>
          <w:rFonts w:ascii="Calibri" w:hAnsi="Calibri" w:cs="Calibri"/>
          <w:b/>
          <w:bCs/>
          <w:sz w:val="20"/>
          <w:szCs w:val="20"/>
          <w:lang w:val="en-GB"/>
        </w:rPr>
        <w:t xml:space="preserve"> </w:t>
      </w:r>
      <w:r w:rsidRPr="0016447B">
        <w:rPr>
          <w:rFonts w:ascii="Calibri" w:hAnsi="Calibri" w:cs="Calibri"/>
          <w:sz w:val="20"/>
          <w:szCs w:val="20"/>
          <w:lang w:val="en-GB"/>
        </w:rPr>
        <w:t>(</w:t>
      </w:r>
      <w:r w:rsidRPr="0016447B">
        <w:rPr>
          <w:rFonts w:ascii="Calibri" w:eastAsiaTheme="majorEastAsia" w:hAnsi="Calibri" w:cs="Calibri"/>
          <w:b/>
          <w:bCs/>
          <w:sz w:val="20"/>
          <w:szCs w:val="20"/>
          <w:lang w:val="en-GB"/>
        </w:rPr>
        <w:t>27.6</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In more general terms, the most mentioned limitations as regards growth of this sector in Italy are the </w:t>
      </w:r>
      <w:r w:rsidRPr="0016447B">
        <w:rPr>
          <w:rFonts w:ascii="Calibri" w:eastAsiaTheme="majorEastAsia" w:hAnsi="Calibri" w:cs="Calibri"/>
          <w:b/>
          <w:bCs/>
          <w:sz w:val="20"/>
          <w:szCs w:val="20"/>
          <w:lang w:val="en-GB"/>
        </w:rPr>
        <w:t>fragmentation</w:t>
      </w:r>
      <w:r w:rsidRPr="0016447B">
        <w:rPr>
          <w:rFonts w:ascii="Calibri" w:hAnsi="Calibri" w:cs="Calibri"/>
          <w:b/>
          <w:bCs/>
          <w:sz w:val="20"/>
          <w:szCs w:val="20"/>
          <w:lang w:val="en-GB"/>
        </w:rPr>
        <w:t xml:space="preserve"> </w:t>
      </w:r>
      <w:r w:rsidRPr="0016447B">
        <w:rPr>
          <w:rFonts w:ascii="Calibri" w:hAnsi="Calibri" w:cs="Calibri"/>
          <w:sz w:val="20"/>
          <w:szCs w:val="20"/>
          <w:lang w:val="en-GB"/>
        </w:rPr>
        <w:t>of the system (</w:t>
      </w:r>
      <w:r w:rsidRPr="0016447B">
        <w:rPr>
          <w:rFonts w:ascii="Calibri" w:eastAsiaTheme="majorEastAsia" w:hAnsi="Calibri" w:cs="Calibri"/>
          <w:b/>
          <w:bCs/>
          <w:sz w:val="20"/>
          <w:szCs w:val="20"/>
          <w:lang w:val="en-GB"/>
        </w:rPr>
        <w:t>36.8</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w:t>
      </w:r>
      <w:r w:rsidRPr="0016447B">
        <w:rPr>
          <w:rFonts w:ascii="Calibri" w:eastAsiaTheme="majorEastAsia" w:hAnsi="Calibri" w:cs="Calibri"/>
          <w:b/>
          <w:bCs/>
          <w:sz w:val="20"/>
          <w:szCs w:val="20"/>
          <w:lang w:val="en-GB"/>
        </w:rPr>
        <w:t>infrastructure</w:t>
      </w:r>
      <w:r w:rsidRPr="0016447B">
        <w:rPr>
          <w:rFonts w:ascii="Calibri" w:hAnsi="Calibri" w:cs="Calibri"/>
          <w:b/>
          <w:bCs/>
          <w:sz w:val="20"/>
          <w:szCs w:val="20"/>
          <w:lang w:val="en-GB"/>
        </w:rPr>
        <w:t xml:space="preserve"> </w:t>
      </w:r>
      <w:r w:rsidRPr="0016447B">
        <w:rPr>
          <w:rFonts w:ascii="Calibri" w:hAnsi="Calibri" w:cs="Calibri"/>
          <w:sz w:val="20"/>
          <w:szCs w:val="20"/>
          <w:lang w:val="en-GB"/>
        </w:rPr>
        <w:t>(</w:t>
      </w:r>
      <w:r w:rsidRPr="0016447B">
        <w:rPr>
          <w:rFonts w:ascii="Calibri" w:eastAsiaTheme="majorEastAsia" w:hAnsi="Calibri" w:cs="Calibri"/>
          <w:b/>
          <w:bCs/>
          <w:sz w:val="20"/>
          <w:szCs w:val="20"/>
          <w:lang w:val="en-GB"/>
        </w:rPr>
        <w:t>30.3</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and poor </w:t>
      </w:r>
      <w:r w:rsidRPr="0016447B">
        <w:rPr>
          <w:rFonts w:ascii="Calibri" w:eastAsiaTheme="majorEastAsia" w:hAnsi="Calibri" w:cs="Calibri"/>
          <w:b/>
          <w:bCs/>
          <w:sz w:val="20"/>
          <w:szCs w:val="20"/>
          <w:lang w:val="en-GB"/>
        </w:rPr>
        <w:t>national marketing</w:t>
      </w:r>
      <w:r w:rsidRPr="0016447B">
        <w:rPr>
          <w:rFonts w:ascii="Calibri" w:hAnsi="Calibri" w:cs="Calibri"/>
          <w:b/>
          <w:bCs/>
          <w:sz w:val="20"/>
          <w:szCs w:val="20"/>
          <w:lang w:val="en-GB"/>
        </w:rPr>
        <w:t xml:space="preserve"> </w:t>
      </w:r>
      <w:r w:rsidRPr="0016447B">
        <w:rPr>
          <w:rFonts w:ascii="Calibri" w:hAnsi="Calibri" w:cs="Calibri"/>
          <w:sz w:val="20"/>
          <w:szCs w:val="20"/>
          <w:lang w:val="en-GB"/>
        </w:rPr>
        <w:t>(</w:t>
      </w:r>
      <w:r w:rsidRPr="0016447B">
        <w:rPr>
          <w:rFonts w:ascii="Calibri" w:eastAsiaTheme="majorEastAsia" w:hAnsi="Calibri" w:cs="Calibri"/>
          <w:b/>
          <w:bCs/>
          <w:sz w:val="20"/>
          <w:szCs w:val="20"/>
          <w:lang w:val="en-GB"/>
        </w:rPr>
        <w:t>25</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A snapshot portraying a sector with great potential but which requires more integration, vision, and tools if it is to grow. </w:t>
      </w:r>
    </w:p>
    <w:p w14:paraId="02FFF8BE" w14:textId="77777777" w:rsidR="00776D8B" w:rsidRPr="0016447B" w:rsidRDefault="00776D8B" w:rsidP="00776D8B">
      <w:pPr>
        <w:pStyle w:val="NormaleWeb"/>
        <w:jc w:val="both"/>
        <w:rPr>
          <w:rFonts w:ascii="Calibri" w:hAnsi="Calibri" w:cs="Calibri"/>
          <w:sz w:val="20"/>
          <w:szCs w:val="20"/>
          <w:lang w:val="en-GB"/>
        </w:rPr>
      </w:pPr>
      <w:r w:rsidRPr="0016447B">
        <w:rPr>
          <w:rFonts w:ascii="Calibri" w:hAnsi="Calibri" w:cs="Calibri"/>
          <w:sz w:val="20"/>
          <w:szCs w:val="20"/>
          <w:lang w:val="en-GB"/>
        </w:rPr>
        <w:t xml:space="preserve">A specific focus also involved </w:t>
      </w:r>
      <w:r w:rsidRPr="0016447B">
        <w:rPr>
          <w:rFonts w:ascii="Calibri" w:eastAsiaTheme="majorEastAsia" w:hAnsi="Calibri" w:cs="Calibri"/>
          <w:b/>
          <w:bCs/>
          <w:sz w:val="20"/>
          <w:szCs w:val="20"/>
          <w:lang w:val="en-GB"/>
        </w:rPr>
        <w:t>tour operators</w:t>
      </w:r>
      <w:r w:rsidRPr="0016447B">
        <w:rPr>
          <w:rFonts w:ascii="Calibri" w:hAnsi="Calibri" w:cs="Calibri"/>
          <w:sz w:val="20"/>
          <w:szCs w:val="20"/>
          <w:lang w:val="en-GB"/>
        </w:rPr>
        <w:t>, through B2B meetings organized in collaboration with</w:t>
      </w:r>
      <w:r w:rsidRPr="0016447B">
        <w:rPr>
          <w:rFonts w:ascii="Calibri" w:eastAsiaTheme="majorEastAsia" w:hAnsi="Calibri" w:cs="Calibri"/>
          <w:b/>
          <w:bCs/>
          <w:sz w:val="20"/>
          <w:szCs w:val="20"/>
          <w:lang w:val="en-GB"/>
        </w:rPr>
        <w:t xml:space="preserve"> Winedering</w:t>
      </w:r>
      <w:r w:rsidRPr="0016447B">
        <w:rPr>
          <w:rFonts w:ascii="Calibri" w:hAnsi="Calibri" w:cs="Calibri"/>
          <w:sz w:val="20"/>
          <w:szCs w:val="20"/>
          <w:lang w:val="en-GB"/>
        </w:rPr>
        <w:t xml:space="preserve">, involving approximately </w:t>
      </w:r>
      <w:r w:rsidRPr="0016447B">
        <w:rPr>
          <w:rFonts w:ascii="Calibri" w:eastAsiaTheme="majorEastAsia" w:hAnsi="Calibri" w:cs="Calibri"/>
          <w:b/>
          <w:bCs/>
          <w:sz w:val="20"/>
          <w:szCs w:val="20"/>
          <w:lang w:val="en-GB"/>
        </w:rPr>
        <w:t>30 Italian companies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and as many operators in the sector, with the aim of promoting and consolidating this kind of service for the wine tourism offering. A particularly significant occasion that will see further development is scheduled </w:t>
      </w:r>
      <w:r w:rsidRPr="0016447B">
        <w:rPr>
          <w:rFonts w:ascii="Calibri" w:eastAsiaTheme="majorEastAsia" w:hAnsi="Calibri" w:cs="Calibri"/>
          <w:b/>
          <w:bCs/>
          <w:sz w:val="20"/>
          <w:szCs w:val="20"/>
          <w:lang w:val="en-GB"/>
        </w:rPr>
        <w:t>tomorrow, Wednesday 15 April</w:t>
      </w:r>
      <w:r w:rsidRPr="0016447B">
        <w:rPr>
          <w:rFonts w:ascii="Calibri" w:hAnsi="Calibri" w:cs="Calibri"/>
          <w:sz w:val="20"/>
          <w:szCs w:val="20"/>
          <w:lang w:val="en-GB"/>
        </w:rPr>
        <w:t xml:space="preserve">, when buyers and tour operators will meet the companies taking part, further strengthening dialogue between supply and demand. This comparison is particularly useful even in the light of data emerging from the survey suggesting that tour operators are asking Italian wineries to meet certain requirements by now considered to be fundamental: </w:t>
      </w:r>
      <w:r w:rsidRPr="0016447B">
        <w:rPr>
          <w:rFonts w:ascii="Calibri" w:eastAsiaTheme="majorEastAsia" w:hAnsi="Calibri" w:cs="Calibri"/>
          <w:b/>
          <w:bCs/>
          <w:sz w:val="20"/>
          <w:szCs w:val="20"/>
          <w:lang w:val="en-GB"/>
        </w:rPr>
        <w:t>fluent English-speaking guides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w:t>
      </w:r>
      <w:r w:rsidRPr="0016447B">
        <w:rPr>
          <w:rFonts w:ascii="Calibri" w:eastAsiaTheme="majorEastAsia" w:hAnsi="Calibri" w:cs="Calibri"/>
          <w:b/>
          <w:bCs/>
          <w:sz w:val="20"/>
          <w:szCs w:val="20"/>
          <w:lang w:val="en-GB"/>
        </w:rPr>
        <w:t>76</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w:t>
      </w:r>
      <w:r w:rsidRPr="0016447B">
        <w:rPr>
          <w:rFonts w:ascii="Calibri" w:eastAsiaTheme="majorEastAsia" w:hAnsi="Calibri" w:cs="Calibri"/>
          <w:b/>
          <w:bCs/>
          <w:sz w:val="20"/>
          <w:szCs w:val="20"/>
          <w:lang w:val="en-GB"/>
        </w:rPr>
        <w:t xml:space="preserve"> appropriate and clearly started group capacity</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w:t>
      </w:r>
      <w:r w:rsidRPr="0016447B">
        <w:rPr>
          <w:rFonts w:ascii="Calibri" w:eastAsiaTheme="majorEastAsia" w:hAnsi="Calibri" w:cs="Calibri"/>
          <w:b/>
          <w:bCs/>
          <w:sz w:val="20"/>
          <w:szCs w:val="20"/>
          <w:lang w:val="en-GB"/>
        </w:rPr>
        <w:t>63</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w:t>
      </w:r>
      <w:r w:rsidRPr="0016447B">
        <w:rPr>
          <w:rFonts w:ascii="Calibri" w:eastAsiaTheme="majorEastAsia" w:hAnsi="Calibri" w:cs="Calibri"/>
          <w:b/>
          <w:bCs/>
          <w:sz w:val="20"/>
          <w:szCs w:val="20"/>
          <w:lang w:val="en-GB"/>
        </w:rPr>
        <w:t xml:space="preserve"> flexible visiting times</w:t>
      </w:r>
      <w:r w:rsidRPr="0016447B">
        <w:rPr>
          <w:rFonts w:ascii="Calibri" w:hAnsi="Calibri" w:cs="Calibri"/>
          <w:sz w:val="20"/>
          <w:szCs w:val="20"/>
          <w:lang w:val="en-GB"/>
        </w:rPr>
        <w:t>, including weekends (</w:t>
      </w:r>
      <w:r w:rsidRPr="0016447B">
        <w:rPr>
          <w:rFonts w:ascii="Calibri" w:eastAsiaTheme="majorEastAsia" w:hAnsi="Calibri" w:cs="Calibri"/>
          <w:b/>
          <w:bCs/>
          <w:sz w:val="20"/>
          <w:szCs w:val="20"/>
          <w:lang w:val="en-GB"/>
        </w:rPr>
        <w:t>54</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and </w:t>
      </w:r>
      <w:r w:rsidRPr="0016447B">
        <w:rPr>
          <w:rFonts w:ascii="Calibri" w:eastAsiaTheme="majorEastAsia" w:hAnsi="Calibri" w:cs="Calibri"/>
          <w:b/>
          <w:bCs/>
          <w:sz w:val="20"/>
          <w:szCs w:val="20"/>
          <w:lang w:val="en-GB"/>
        </w:rPr>
        <w:t>transparent fees for the trade channel</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w:t>
      </w:r>
      <w:r w:rsidRPr="0016447B">
        <w:rPr>
          <w:rFonts w:ascii="Calibri" w:eastAsiaTheme="majorEastAsia" w:hAnsi="Calibri" w:cs="Calibri"/>
          <w:b/>
          <w:bCs/>
          <w:sz w:val="20"/>
          <w:szCs w:val="20"/>
          <w:lang w:val="en-GB"/>
        </w:rPr>
        <w:t>41</w:t>
      </w:r>
      <w:r w:rsidRPr="0016447B">
        <w:rPr>
          <w:rStyle w:val="Enfasigrassetto"/>
          <w:rFonts w:ascii="Calibri" w:eastAsiaTheme="majorEastAsia" w:hAnsi="Calibri" w:cs="Calibri"/>
          <w:sz w:val="20"/>
          <w:szCs w:val="20"/>
          <w:lang w:val="en-GB"/>
        </w:rPr>
        <w:t>%</w:t>
      </w:r>
      <w:r w:rsidRPr="0016447B">
        <w:rPr>
          <w:rFonts w:ascii="Calibri" w:hAnsi="Calibri" w:cs="Calibri"/>
          <w:sz w:val="20"/>
          <w:szCs w:val="20"/>
          <w:lang w:val="en-GB"/>
        </w:rPr>
        <w:t xml:space="preserve">). The main difficulties reported included slow or no response, unclear pricing, language barriers, rigid timetables, and the absence of online booking. This framework clearly outlines how strengthening dialogue with tourism intermediaries today also requires better defined standards, greater commercial accessibility, and more organizational capacity on the part of wineries. </w:t>
      </w:r>
    </w:p>
    <w:p w14:paraId="30F65030" w14:textId="77777777" w:rsidR="00776D8B" w:rsidRPr="0016447B" w:rsidRDefault="00776D8B" w:rsidP="00776D8B">
      <w:pPr>
        <w:pStyle w:val="NormaleWeb"/>
        <w:jc w:val="both"/>
        <w:rPr>
          <w:rFonts w:ascii="Calibri" w:hAnsi="Calibri" w:cs="Calibri"/>
          <w:sz w:val="20"/>
          <w:szCs w:val="20"/>
          <w:lang w:val="en-GB"/>
        </w:rPr>
      </w:pPr>
      <w:r w:rsidRPr="0016447B">
        <w:rPr>
          <w:rFonts w:ascii="Calibri" w:hAnsi="Calibri" w:cs="Calibri"/>
          <w:sz w:val="20"/>
          <w:szCs w:val="20"/>
          <w:lang w:val="en-GB"/>
        </w:rPr>
        <w:t xml:space="preserve">The data published in the report confirm the central role of wine tourism as an economic and commercial asset. The </w:t>
      </w:r>
      <w:r w:rsidRPr="0016447B">
        <w:rPr>
          <w:rFonts w:ascii="Calibri" w:eastAsiaTheme="majorEastAsia" w:hAnsi="Calibri" w:cs="Calibri"/>
          <w:b/>
          <w:bCs/>
          <w:sz w:val="20"/>
          <w:szCs w:val="20"/>
          <w:lang w:val="en-GB"/>
        </w:rPr>
        <w:t>Wine Suite 2026 Wine Tourism and Direct-to-Consumer Sales Report</w:t>
      </w:r>
      <w:r w:rsidRPr="0016447B">
        <w:rPr>
          <w:rFonts w:ascii="Calibri" w:hAnsi="Calibri" w:cs="Calibri"/>
          <w:sz w:val="20"/>
          <w:szCs w:val="20"/>
          <w:lang w:val="en-GB"/>
        </w:rPr>
        <w:t xml:space="preserve"> was presented in the context of </w:t>
      </w:r>
      <w:r w:rsidRPr="0016447B">
        <w:rPr>
          <w:rFonts w:ascii="Calibri" w:eastAsiaTheme="majorEastAsia" w:hAnsi="Calibri" w:cs="Calibri"/>
          <w:b/>
          <w:bCs/>
          <w:sz w:val="20"/>
          <w:szCs w:val="20"/>
          <w:lang w:val="en-GB"/>
        </w:rPr>
        <w:t>Vinitaly Tourism</w:t>
      </w:r>
      <w:r w:rsidRPr="0016447B">
        <w:rPr>
          <w:rFonts w:ascii="Calibri" w:hAnsi="Calibri" w:cs="Calibri"/>
          <w:sz w:val="20"/>
          <w:szCs w:val="20"/>
          <w:lang w:val="en-GB"/>
        </w:rPr>
        <w:t xml:space="preserve">. The report highlights that in 2025 the </w:t>
      </w:r>
      <w:r w:rsidRPr="0016447B">
        <w:rPr>
          <w:rFonts w:ascii="Calibri" w:eastAsiaTheme="majorEastAsia" w:hAnsi="Calibri" w:cs="Calibri"/>
          <w:b/>
          <w:bCs/>
          <w:sz w:val="20"/>
          <w:szCs w:val="20"/>
          <w:lang w:val="en-GB"/>
        </w:rPr>
        <w:t>average price of a wine tourism experience</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was </w:t>
      </w:r>
      <w:r w:rsidRPr="0016447B">
        <w:rPr>
          <w:rFonts w:ascii="Calibri" w:eastAsiaTheme="majorEastAsia" w:hAnsi="Calibri" w:cs="Calibri"/>
          <w:b/>
          <w:bCs/>
          <w:sz w:val="20"/>
          <w:szCs w:val="20"/>
          <w:lang w:val="en-GB"/>
        </w:rPr>
        <w:t>39.4 euros per person</w:t>
      </w:r>
      <w:r w:rsidRPr="0016447B">
        <w:rPr>
          <w:rFonts w:ascii="Calibri" w:hAnsi="Calibri" w:cs="Calibri"/>
          <w:sz w:val="20"/>
          <w:szCs w:val="20"/>
          <w:lang w:val="en-GB"/>
        </w:rPr>
        <w:t xml:space="preserve">, while the </w:t>
      </w:r>
      <w:r w:rsidRPr="0016447B">
        <w:rPr>
          <w:rFonts w:ascii="Calibri" w:eastAsiaTheme="majorEastAsia" w:hAnsi="Calibri" w:cs="Calibri"/>
          <w:b/>
          <w:bCs/>
          <w:sz w:val="20"/>
          <w:szCs w:val="20"/>
          <w:lang w:val="en-GB"/>
        </w:rPr>
        <w:t xml:space="preserve">average ticket for bookings </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was </w:t>
      </w:r>
      <w:r w:rsidRPr="0016447B">
        <w:rPr>
          <w:rFonts w:ascii="Calibri" w:eastAsiaTheme="majorEastAsia" w:hAnsi="Calibri" w:cs="Calibri"/>
          <w:b/>
          <w:bCs/>
          <w:sz w:val="20"/>
          <w:szCs w:val="20"/>
          <w:lang w:val="en-GB"/>
        </w:rPr>
        <w:t>136.6 euros</w:t>
      </w:r>
      <w:r w:rsidRPr="0016447B">
        <w:rPr>
          <w:rFonts w:ascii="Calibri" w:hAnsi="Calibri" w:cs="Calibri"/>
          <w:sz w:val="20"/>
          <w:szCs w:val="20"/>
          <w:lang w:val="en-GB"/>
        </w:rPr>
        <w:t xml:space="preserve">. It emerges that </w:t>
      </w:r>
      <w:r w:rsidRPr="0016447B">
        <w:rPr>
          <w:rFonts w:ascii="Calibri" w:eastAsiaTheme="majorEastAsia" w:hAnsi="Calibri" w:cs="Calibri"/>
          <w:b/>
          <w:bCs/>
          <w:sz w:val="20"/>
          <w:szCs w:val="20"/>
          <w:lang w:val="en-GB"/>
        </w:rPr>
        <w:t>43.3% of visitors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come from abroad, a sign of growing internationalisation in demand, while the average number of experiences and events offered by wineries grew to</w:t>
      </w:r>
      <w:r w:rsidRPr="0016447B">
        <w:rPr>
          <w:rFonts w:ascii="Calibri" w:eastAsiaTheme="majorEastAsia" w:hAnsi="Calibri" w:cs="Calibri"/>
          <w:b/>
          <w:bCs/>
          <w:sz w:val="20"/>
          <w:szCs w:val="20"/>
          <w:lang w:val="en-GB"/>
        </w:rPr>
        <w:t>7 per year</w:t>
      </w:r>
      <w:r w:rsidRPr="0016447B">
        <w:rPr>
          <w:rFonts w:ascii="Calibri" w:hAnsi="Calibri" w:cs="Calibri"/>
          <w:sz w:val="20"/>
          <w:szCs w:val="20"/>
          <w:lang w:val="en-GB"/>
        </w:rPr>
        <w:t xml:space="preserve">, demonstrating an increasingly structured and articulated offering. </w:t>
      </w:r>
    </w:p>
    <w:p w14:paraId="746F1FFF" w14:textId="77777777" w:rsidR="00776D8B" w:rsidRPr="0016447B" w:rsidRDefault="00776D8B" w:rsidP="00776D8B">
      <w:pPr>
        <w:pStyle w:val="NormaleWeb"/>
        <w:jc w:val="both"/>
        <w:rPr>
          <w:rFonts w:ascii="Calibri" w:hAnsi="Calibri" w:cs="Calibri"/>
          <w:sz w:val="20"/>
          <w:szCs w:val="20"/>
          <w:lang w:val="en-GB"/>
        </w:rPr>
      </w:pPr>
      <w:r w:rsidRPr="0016447B">
        <w:rPr>
          <w:rFonts w:ascii="Calibri" w:hAnsi="Calibri" w:cs="Calibri"/>
          <w:sz w:val="20"/>
          <w:szCs w:val="20"/>
          <w:lang w:val="en-GB"/>
        </w:rPr>
        <w:t xml:space="preserve">The report also highlighted the market dimension of this area. Wine tourism in italy sees </w:t>
      </w:r>
      <w:r w:rsidRPr="0016447B">
        <w:rPr>
          <w:rFonts w:ascii="Calibri" w:eastAsiaTheme="majorEastAsia" w:hAnsi="Calibri" w:cs="Calibri"/>
          <w:b/>
          <w:bCs/>
          <w:sz w:val="20"/>
          <w:szCs w:val="20"/>
          <w:lang w:val="en-GB"/>
        </w:rPr>
        <w:t>15 million visitors to wine cellars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and </w:t>
      </w:r>
      <w:r w:rsidRPr="0016447B">
        <w:rPr>
          <w:rFonts w:ascii="Calibri" w:eastAsiaTheme="majorEastAsia" w:hAnsi="Calibri" w:cs="Calibri"/>
          <w:b/>
          <w:bCs/>
          <w:sz w:val="20"/>
          <w:szCs w:val="20"/>
          <w:lang w:val="en-GB"/>
        </w:rPr>
        <w:t xml:space="preserve">expenditure of 3 billion euros </w:t>
      </w:r>
      <w:r w:rsidRPr="0016447B">
        <w:rPr>
          <w:rFonts w:ascii="Calibri" w:hAnsi="Calibri" w:cs="Calibri"/>
          <w:sz w:val="20"/>
          <w:szCs w:val="20"/>
          <w:lang w:val="en-GB"/>
        </w:rPr>
        <w:t xml:space="preserve">, while more structured wineries posted growth of </w:t>
      </w:r>
      <w:r w:rsidRPr="0016447B">
        <w:rPr>
          <w:rFonts w:ascii="Calibri" w:eastAsiaTheme="majorEastAsia" w:hAnsi="Calibri" w:cs="Calibri"/>
          <w:b/>
          <w:bCs/>
          <w:sz w:val="20"/>
          <w:szCs w:val="20"/>
          <w:lang w:val="en-GB"/>
        </w:rPr>
        <w:t>16.8% for annual visitors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and </w:t>
      </w:r>
      <w:r w:rsidRPr="0016447B">
        <w:rPr>
          <w:rFonts w:ascii="Calibri" w:eastAsiaTheme="majorEastAsia" w:hAnsi="Calibri" w:cs="Calibri"/>
          <w:b/>
          <w:bCs/>
          <w:sz w:val="20"/>
          <w:szCs w:val="20"/>
          <w:lang w:val="en-GB"/>
        </w:rPr>
        <w:t>21% for direct post-visit sales</w:t>
      </w:r>
      <w:r w:rsidRPr="0016447B">
        <w:rPr>
          <w:rFonts w:ascii="Calibri" w:hAnsi="Calibri" w:cs="Calibri"/>
          <w:sz w:val="20"/>
          <w:szCs w:val="20"/>
          <w:lang w:val="en-GB"/>
        </w:rPr>
        <w:t xml:space="preserve">. This confirm how well-organized hospitality can be effective drive the profitability of wine companies and how the winery experience is increasingly a crucial point of contact between brands, regions, and consumers. </w:t>
      </w:r>
    </w:p>
    <w:p w14:paraId="662B7351" w14:textId="77777777" w:rsidR="00776D8B" w:rsidRPr="0016447B" w:rsidRDefault="00776D8B" w:rsidP="00776D8B">
      <w:pPr>
        <w:pStyle w:val="NormaleWeb"/>
        <w:jc w:val="both"/>
        <w:rPr>
          <w:rFonts w:ascii="Calibri" w:hAnsi="Calibri" w:cs="Calibri"/>
          <w:sz w:val="20"/>
          <w:szCs w:val="20"/>
          <w:lang w:val="en-GB"/>
        </w:rPr>
      </w:pPr>
      <w:r w:rsidRPr="0016447B">
        <w:rPr>
          <w:rFonts w:ascii="Calibri" w:hAnsi="Calibri" w:cs="Calibri"/>
          <w:sz w:val="20"/>
          <w:szCs w:val="20"/>
          <w:lang w:val="en-GB"/>
        </w:rPr>
        <w:t xml:space="preserve">This approach to content, comparison and vision also involved </w:t>
      </w:r>
      <w:r w:rsidRPr="0016447B">
        <w:rPr>
          <w:rFonts w:ascii="Calibri" w:eastAsiaTheme="majorEastAsia" w:hAnsi="Calibri" w:cs="Calibri"/>
          <w:b/>
          <w:bCs/>
          <w:sz w:val="20"/>
          <w:szCs w:val="20"/>
          <w:lang w:val="en-GB"/>
        </w:rPr>
        <w:t>15 conferences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hosted in the </w:t>
      </w:r>
      <w:r w:rsidRPr="0016447B">
        <w:rPr>
          <w:rFonts w:ascii="Calibri" w:eastAsiaTheme="majorEastAsia" w:hAnsi="Calibri" w:cs="Calibri"/>
          <w:b/>
          <w:bCs/>
          <w:sz w:val="20"/>
          <w:szCs w:val="20"/>
          <w:lang w:val="en-GB"/>
        </w:rPr>
        <w:t>Vinitaly Tourism</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area with contributions by Italian and international experts discussing some of the most innovative and current topics for the sector. Some highly significant insights came from American testimony about how </w:t>
      </w:r>
      <w:r w:rsidRPr="0016447B">
        <w:rPr>
          <w:rFonts w:ascii="Calibri" w:eastAsiaTheme="majorEastAsia" w:hAnsi="Calibri" w:cs="Calibri"/>
          <w:b/>
          <w:bCs/>
          <w:sz w:val="20"/>
          <w:szCs w:val="20"/>
          <w:lang w:val="en-GB"/>
        </w:rPr>
        <w:t>Wine Clubs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function in the United States, the leading market in this field, and action highlighting the importance of managing </w:t>
      </w:r>
      <w:r w:rsidRPr="0016447B">
        <w:rPr>
          <w:rFonts w:ascii="Calibri" w:eastAsiaTheme="majorEastAsia" w:hAnsi="Calibri" w:cs="Calibri"/>
          <w:b/>
          <w:bCs/>
          <w:sz w:val="20"/>
          <w:szCs w:val="20"/>
          <w:lang w:val="en-GB"/>
        </w:rPr>
        <w:t>food intolerances</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issues in the world of tastings and wine tourism hospitality. Different topics nevertheless moving in the same direction: make wine tourism an increasingly mature, inclusive, and structured sector that generates real value for companies.</w:t>
      </w:r>
    </w:p>
    <w:p w14:paraId="2BF3EA08" w14:textId="77777777" w:rsidR="00776D8B" w:rsidRPr="0016447B" w:rsidRDefault="00776D8B" w:rsidP="00776D8B">
      <w:pPr>
        <w:pStyle w:val="NormaleWeb"/>
        <w:jc w:val="both"/>
        <w:rPr>
          <w:rFonts w:ascii="Calibri" w:hAnsi="Calibri" w:cs="Calibri"/>
          <w:sz w:val="20"/>
          <w:szCs w:val="20"/>
          <w:lang w:val="en-GB"/>
        </w:rPr>
      </w:pPr>
      <w:r w:rsidRPr="0016447B">
        <w:rPr>
          <w:rFonts w:ascii="Calibri" w:hAnsi="Calibri" w:cs="Calibri"/>
          <w:sz w:val="20"/>
          <w:szCs w:val="20"/>
          <w:lang w:val="en-GB"/>
        </w:rPr>
        <w:t xml:space="preserve">In this context, </w:t>
      </w:r>
      <w:r w:rsidRPr="0016447B">
        <w:rPr>
          <w:rFonts w:ascii="Calibri" w:eastAsiaTheme="majorEastAsia" w:hAnsi="Calibri" w:cs="Calibri"/>
          <w:b/>
          <w:bCs/>
          <w:sz w:val="20"/>
          <w:szCs w:val="20"/>
          <w:lang w:val="en-GB"/>
        </w:rPr>
        <w:t>Vinitaly Tourism</w:t>
      </w:r>
      <w:r w:rsidRPr="0016447B">
        <w:rPr>
          <w:rFonts w:ascii="Calibri" w:hAnsi="Calibri" w:cs="Calibri"/>
          <w:sz w:val="20"/>
          <w:szCs w:val="20"/>
          <w:lang w:val="en-GB"/>
        </w:rPr>
        <w:t xml:space="preserve">, organized by </w:t>
      </w:r>
      <w:r w:rsidRPr="0016447B">
        <w:rPr>
          <w:rFonts w:ascii="Calibri" w:eastAsiaTheme="majorEastAsia" w:hAnsi="Calibri" w:cs="Calibri"/>
          <w:b/>
          <w:bCs/>
          <w:sz w:val="20"/>
          <w:szCs w:val="20"/>
          <w:lang w:val="en-GB"/>
        </w:rPr>
        <w:t>Vinitaly</w:t>
      </w:r>
      <w:r w:rsidRPr="0016447B">
        <w:rPr>
          <w:rFonts w:ascii="Calibri" w:hAnsi="Calibri" w:cs="Calibri"/>
          <w:b/>
          <w:bCs/>
          <w:sz w:val="20"/>
          <w:szCs w:val="20"/>
          <w:lang w:val="en-GB"/>
        </w:rPr>
        <w:t xml:space="preserve"> </w:t>
      </w:r>
      <w:r w:rsidRPr="0016447B">
        <w:rPr>
          <w:rFonts w:ascii="Calibri" w:hAnsi="Calibri" w:cs="Calibri"/>
          <w:sz w:val="20"/>
          <w:szCs w:val="20"/>
          <w:lang w:val="en-GB"/>
        </w:rPr>
        <w:t xml:space="preserve"> in collaboration with </w:t>
      </w:r>
      <w:r w:rsidRPr="0016447B">
        <w:rPr>
          <w:rFonts w:ascii="Calibri" w:eastAsiaTheme="majorEastAsia" w:hAnsi="Calibri" w:cs="Calibri"/>
          <w:b/>
          <w:bCs/>
          <w:sz w:val="20"/>
          <w:szCs w:val="20"/>
          <w:lang w:val="en-GB"/>
        </w:rPr>
        <w:t>Wine Tourism Hub</w:t>
      </w:r>
      <w:r w:rsidRPr="0016447B">
        <w:rPr>
          <w:rFonts w:ascii="Calibri" w:hAnsi="Calibri" w:cs="Calibri"/>
          <w:sz w:val="20"/>
          <w:szCs w:val="20"/>
          <w:lang w:val="en-GB"/>
        </w:rPr>
        <w:t xml:space="preserve"> confirms its successful status capable of intercepting a genuine need in the sector and transforming it into a venue for content, relationships, discussion and perspective. A clear message emerges from this edition: wine tourism is no longer a secondary concept but one of the most promising directions for the future of Italian wine.</w:t>
      </w:r>
    </w:p>
    <w:p w14:paraId="4765F532" w14:textId="77777777" w:rsidR="00776D8B" w:rsidRPr="0016447B" w:rsidRDefault="00776D8B" w:rsidP="00776D8B">
      <w:pPr>
        <w:pStyle w:val="NormaleWeb"/>
        <w:jc w:val="both"/>
        <w:rPr>
          <w:rFonts w:ascii="Calibri" w:hAnsi="Calibri" w:cs="Calibri"/>
          <w:sz w:val="20"/>
          <w:szCs w:val="20"/>
          <w:lang w:val="en-GB"/>
        </w:rPr>
      </w:pPr>
    </w:p>
    <w:p w14:paraId="2D7C5329" w14:textId="77777777" w:rsidR="00776D8B" w:rsidRPr="0016447B" w:rsidRDefault="00776D8B" w:rsidP="00776D8B">
      <w:pPr>
        <w:jc w:val="both"/>
        <w:rPr>
          <w:rFonts w:ascii="Calibri" w:hAnsi="Calibri" w:cs="Calibri"/>
          <w:kern w:val="0"/>
          <w:sz w:val="16"/>
          <w:szCs w:val="16"/>
          <w:lang w:val="en-GB"/>
        </w:rPr>
      </w:pPr>
      <w:hyperlink r:id="rId7" w:history="1">
        <w:r w:rsidRPr="0016447B">
          <w:rPr>
            <w:rStyle w:val="Collegamentoipertestuale"/>
            <w:rFonts w:ascii="Calibri" w:hAnsi="Calibri" w:cs="Calibri"/>
            <w:kern w:val="0"/>
            <w:sz w:val="16"/>
            <w:szCs w:val="16"/>
            <w:lang w:val="en-GB"/>
          </w:rPr>
          <w:t>www.vinitaly.com</w:t>
        </w:r>
      </w:hyperlink>
    </w:p>
    <w:p w14:paraId="158F1720" w14:textId="77777777" w:rsidR="00776D8B" w:rsidRPr="0016447B" w:rsidRDefault="00776D8B" w:rsidP="00776D8B">
      <w:pPr>
        <w:spacing w:line="23" w:lineRule="atLeast"/>
        <w:rPr>
          <w:rFonts w:ascii="Calibri" w:hAnsi="Calibri" w:cs="Calibri"/>
          <w:b/>
          <w:bCs/>
          <w:kern w:val="0"/>
          <w:sz w:val="16"/>
          <w:szCs w:val="16"/>
          <w:lang w:val="en-GB"/>
        </w:rPr>
      </w:pPr>
    </w:p>
    <w:p w14:paraId="2D76E830" w14:textId="77777777" w:rsidR="00776D8B" w:rsidRPr="0016447B" w:rsidRDefault="00776D8B" w:rsidP="00776D8B">
      <w:pPr>
        <w:spacing w:line="23" w:lineRule="atLeast"/>
        <w:rPr>
          <w:rFonts w:ascii="Calibri" w:hAnsi="Calibri" w:cs="Calibri"/>
          <w:b/>
          <w:bCs/>
          <w:kern w:val="0"/>
          <w:sz w:val="16"/>
          <w:szCs w:val="16"/>
          <w:lang w:val="en-GB"/>
        </w:rPr>
      </w:pPr>
      <w:r w:rsidRPr="0016447B">
        <w:rPr>
          <w:rFonts w:ascii="Calibri" w:hAnsi="Calibri" w:cs="Calibri"/>
          <w:b/>
          <w:bCs/>
          <w:kern w:val="0"/>
          <w:sz w:val="16"/>
          <w:szCs w:val="16"/>
          <w:lang w:val="en-GB"/>
        </w:rPr>
        <w:t>Veronafiere Corporate &amp; Products Media Area</w:t>
      </w:r>
    </w:p>
    <w:p w14:paraId="45B650CE" w14:textId="77777777" w:rsidR="00776D8B" w:rsidRPr="0016447B" w:rsidRDefault="00776D8B" w:rsidP="00776D8B">
      <w:pPr>
        <w:spacing w:line="23" w:lineRule="atLeast"/>
        <w:rPr>
          <w:rFonts w:ascii="Calibri" w:hAnsi="Calibri" w:cs="Calibri"/>
          <w:kern w:val="0"/>
          <w:sz w:val="16"/>
          <w:szCs w:val="16"/>
          <w:lang w:val="en-GB"/>
        </w:rPr>
      </w:pPr>
      <w:r w:rsidRPr="0016447B">
        <w:rPr>
          <w:rFonts w:ascii="Calibri" w:hAnsi="Calibri" w:cs="Calibri"/>
          <w:kern w:val="0"/>
          <w:sz w:val="16"/>
          <w:szCs w:val="16"/>
          <w:lang w:val="en-GB"/>
        </w:rPr>
        <w:t>Director - Carlo Alberto Delaini</w:t>
      </w:r>
    </w:p>
    <w:p w14:paraId="7E46C0BB" w14:textId="77777777" w:rsidR="00776D8B" w:rsidRPr="0016447B" w:rsidRDefault="00776D8B" w:rsidP="00776D8B">
      <w:pPr>
        <w:spacing w:line="23" w:lineRule="atLeast"/>
        <w:rPr>
          <w:rFonts w:ascii="Calibri" w:hAnsi="Calibri" w:cs="Calibri"/>
          <w:kern w:val="0"/>
          <w:sz w:val="16"/>
          <w:szCs w:val="16"/>
          <w:lang w:val="en-GB"/>
        </w:rPr>
      </w:pPr>
      <w:r w:rsidRPr="0016447B">
        <w:rPr>
          <w:rFonts w:ascii="Calibri" w:hAnsi="Calibri" w:cs="Calibri"/>
          <w:kern w:val="0"/>
          <w:sz w:val="16"/>
          <w:szCs w:val="16"/>
          <w:lang w:val="en-GB"/>
        </w:rPr>
        <w:t>Press Office Manager - Francesco Marchi</w:t>
      </w:r>
    </w:p>
    <w:p w14:paraId="7B5CB43A" w14:textId="77777777" w:rsidR="00776D8B" w:rsidRPr="0016447B" w:rsidRDefault="00776D8B" w:rsidP="00776D8B">
      <w:pPr>
        <w:spacing w:line="23" w:lineRule="atLeast"/>
        <w:rPr>
          <w:rFonts w:ascii="Calibri" w:hAnsi="Calibri" w:cs="Calibri"/>
          <w:kern w:val="0"/>
          <w:sz w:val="16"/>
          <w:szCs w:val="16"/>
          <w:lang w:val="en-GB"/>
        </w:rPr>
      </w:pPr>
      <w:r w:rsidRPr="0016447B">
        <w:rPr>
          <w:rFonts w:ascii="Calibri" w:hAnsi="Calibri" w:cs="Calibri"/>
          <w:kern w:val="0"/>
          <w:sz w:val="16"/>
          <w:szCs w:val="16"/>
          <w:lang w:val="en-GB"/>
        </w:rPr>
        <w:t>Tel.: + 39.045.829.83.50 - 82.42 - 82.10 – 84.27</w:t>
      </w:r>
    </w:p>
    <w:p w14:paraId="2E7AFD4C" w14:textId="77777777" w:rsidR="00776D8B" w:rsidRPr="0016447B" w:rsidRDefault="00776D8B" w:rsidP="00776D8B">
      <w:pPr>
        <w:spacing w:line="23" w:lineRule="atLeast"/>
        <w:rPr>
          <w:rFonts w:ascii="Calibri" w:hAnsi="Calibri" w:cs="Calibri"/>
          <w:kern w:val="0"/>
          <w:sz w:val="16"/>
          <w:szCs w:val="16"/>
          <w:lang w:val="en-GB"/>
        </w:rPr>
      </w:pPr>
      <w:r w:rsidRPr="0016447B">
        <w:rPr>
          <w:rFonts w:ascii="Calibri" w:hAnsi="Calibri" w:cs="Calibri"/>
          <w:kern w:val="0"/>
          <w:sz w:val="16"/>
          <w:szCs w:val="16"/>
          <w:lang w:val="en-GB"/>
        </w:rPr>
        <w:t xml:space="preserve">E-mail: </w:t>
      </w:r>
      <w:hyperlink r:id="rId8" w:history="1">
        <w:r w:rsidRPr="0016447B">
          <w:rPr>
            <w:rStyle w:val="Collegamentoipertestuale"/>
            <w:rFonts w:ascii="Calibri" w:hAnsi="Calibri" w:cs="Calibri"/>
            <w:kern w:val="0"/>
            <w:sz w:val="16"/>
            <w:szCs w:val="16"/>
            <w:lang w:val="en-GB"/>
          </w:rPr>
          <w:t>pressoffice@veronafiere.it</w:t>
        </w:r>
      </w:hyperlink>
      <w:r w:rsidRPr="0016447B">
        <w:rPr>
          <w:rFonts w:ascii="Calibri" w:hAnsi="Calibri" w:cs="Calibri"/>
          <w:kern w:val="0"/>
          <w:sz w:val="16"/>
          <w:szCs w:val="16"/>
          <w:lang w:val="en-GB"/>
        </w:rPr>
        <w:t xml:space="preserve">; </w:t>
      </w:r>
    </w:p>
    <w:p w14:paraId="3F541990" w14:textId="77777777" w:rsidR="00776D8B" w:rsidRPr="0016447B" w:rsidRDefault="00776D8B" w:rsidP="00776D8B">
      <w:pPr>
        <w:spacing w:line="23" w:lineRule="atLeast"/>
        <w:rPr>
          <w:rFonts w:ascii="Calibri" w:hAnsi="Calibri" w:cs="Calibri"/>
          <w:kern w:val="0"/>
          <w:sz w:val="16"/>
          <w:szCs w:val="16"/>
          <w:lang w:val="en-GB"/>
        </w:rPr>
      </w:pPr>
      <w:r w:rsidRPr="0016447B">
        <w:rPr>
          <w:rFonts w:ascii="Calibri" w:hAnsi="Calibri" w:cs="Calibri"/>
          <w:kern w:val="0"/>
          <w:sz w:val="16"/>
          <w:szCs w:val="16"/>
          <w:lang w:val="en-GB"/>
        </w:rPr>
        <w:t>Twitter: @pressVRfiere | Facebook: @veronafiere</w:t>
      </w:r>
    </w:p>
    <w:p w14:paraId="186571B2" w14:textId="77777777" w:rsidR="00776D8B" w:rsidRPr="0016447B" w:rsidRDefault="00776D8B" w:rsidP="00776D8B">
      <w:pPr>
        <w:spacing w:line="23" w:lineRule="atLeast"/>
        <w:rPr>
          <w:rStyle w:val="Collegamentoipertestuale"/>
          <w:rFonts w:ascii="Calibri" w:hAnsi="Calibri" w:cs="Calibri"/>
          <w:kern w:val="0"/>
          <w:sz w:val="16"/>
          <w:szCs w:val="16"/>
          <w:lang w:val="en-GB"/>
        </w:rPr>
      </w:pPr>
      <w:r w:rsidRPr="0016447B">
        <w:rPr>
          <w:rFonts w:ascii="Calibri" w:hAnsi="Calibri" w:cs="Calibri"/>
          <w:kern w:val="0"/>
          <w:sz w:val="16"/>
          <w:szCs w:val="16"/>
          <w:lang w:val="en-GB"/>
        </w:rPr>
        <w:t xml:space="preserve">Web: </w:t>
      </w:r>
      <w:hyperlink r:id="rId9" w:history="1">
        <w:r w:rsidRPr="0016447B">
          <w:rPr>
            <w:rStyle w:val="Collegamentoipertestuale"/>
            <w:rFonts w:ascii="Calibri" w:hAnsi="Calibri" w:cs="Calibri"/>
            <w:kern w:val="0"/>
            <w:sz w:val="16"/>
            <w:szCs w:val="16"/>
            <w:lang w:val="en-GB"/>
          </w:rPr>
          <w:t>www.veronafiere.it</w:t>
        </w:r>
      </w:hyperlink>
    </w:p>
    <w:p w14:paraId="06C77EFA" w14:textId="77777777" w:rsidR="00776D8B" w:rsidRPr="0016447B" w:rsidRDefault="00776D8B" w:rsidP="00776D8B">
      <w:pPr>
        <w:spacing w:line="23" w:lineRule="atLeast"/>
        <w:rPr>
          <w:rStyle w:val="Collegamentoipertestuale"/>
          <w:rFonts w:ascii="Calibri" w:hAnsi="Calibri" w:cs="Calibri"/>
          <w:kern w:val="0"/>
          <w:sz w:val="16"/>
          <w:szCs w:val="16"/>
          <w:lang w:val="en-GB"/>
        </w:rPr>
      </w:pPr>
    </w:p>
    <w:p w14:paraId="2E5EF0F9" w14:textId="77777777" w:rsidR="00776D8B" w:rsidRPr="0016447B" w:rsidRDefault="00776D8B" w:rsidP="00776D8B">
      <w:pPr>
        <w:spacing w:line="23" w:lineRule="atLeast"/>
        <w:rPr>
          <w:rFonts w:ascii="Calibri" w:hAnsi="Calibri" w:cs="Calibri"/>
          <w:b/>
          <w:bCs/>
          <w:kern w:val="0"/>
          <w:sz w:val="16"/>
          <w:szCs w:val="16"/>
          <w:lang w:val="en-GB"/>
        </w:rPr>
      </w:pPr>
      <w:r w:rsidRPr="0016447B">
        <w:rPr>
          <w:rFonts w:ascii="Calibri" w:hAnsi="Calibri" w:cs="Calibri"/>
          <w:b/>
          <w:bCs/>
          <w:kern w:val="0"/>
          <w:sz w:val="16"/>
          <w:szCs w:val="16"/>
          <w:lang w:val="en-GB"/>
        </w:rPr>
        <w:t>Ispropress</w:t>
      </w:r>
    </w:p>
    <w:p w14:paraId="0B4F441F" w14:textId="77777777" w:rsidR="00776D8B" w:rsidRPr="0016447B" w:rsidRDefault="00776D8B" w:rsidP="00776D8B">
      <w:pPr>
        <w:spacing w:line="23" w:lineRule="atLeast"/>
        <w:rPr>
          <w:rFonts w:ascii="Calibri" w:hAnsi="Calibri" w:cs="Calibri"/>
          <w:kern w:val="0"/>
          <w:sz w:val="16"/>
          <w:szCs w:val="16"/>
          <w:lang w:val="en-GB"/>
        </w:rPr>
      </w:pPr>
      <w:r w:rsidRPr="0016447B">
        <w:rPr>
          <w:rFonts w:ascii="Calibri" w:hAnsi="Calibri" w:cs="Calibri"/>
          <w:kern w:val="0"/>
          <w:sz w:val="16"/>
          <w:szCs w:val="16"/>
          <w:lang w:val="en-GB"/>
        </w:rPr>
        <w:t xml:space="preserve">Benny Lonardi (393.455.5590; </w:t>
      </w:r>
      <w:hyperlink r:id="rId10" w:history="1">
        <w:r w:rsidRPr="0016447B">
          <w:rPr>
            <w:rStyle w:val="Collegamentoipertestuale"/>
            <w:rFonts w:ascii="Calibri" w:hAnsi="Calibri" w:cs="Calibri"/>
            <w:kern w:val="0"/>
            <w:sz w:val="16"/>
            <w:szCs w:val="16"/>
            <w:lang w:val="en-GB"/>
          </w:rPr>
          <w:t>direzione@ispropress.it</w:t>
        </w:r>
      </w:hyperlink>
      <w:r w:rsidRPr="0016447B">
        <w:rPr>
          <w:rFonts w:ascii="Calibri" w:hAnsi="Calibri" w:cs="Calibri"/>
          <w:kern w:val="0"/>
          <w:sz w:val="16"/>
          <w:szCs w:val="16"/>
          <w:lang w:val="en-GB"/>
        </w:rPr>
        <w:t>) - Simone Velasco (327.9131676; simovela@ispropress.it)</w:t>
      </w:r>
    </w:p>
    <w:p w14:paraId="7AF50D8F" w14:textId="77777777" w:rsidR="00776D8B" w:rsidRPr="0016447B" w:rsidRDefault="00776D8B" w:rsidP="00776D8B">
      <w:pPr>
        <w:pStyle w:val="NormaleWeb"/>
        <w:jc w:val="both"/>
        <w:rPr>
          <w:rFonts w:ascii="Calibri" w:hAnsi="Calibri" w:cs="Calibri"/>
          <w:sz w:val="20"/>
          <w:szCs w:val="20"/>
          <w:lang w:val="en-GB"/>
        </w:rPr>
      </w:pPr>
    </w:p>
    <w:p w14:paraId="26161EE9" w14:textId="77777777" w:rsidR="00776D8B" w:rsidRPr="0016447B" w:rsidRDefault="00776D8B" w:rsidP="00776D8B">
      <w:pPr>
        <w:jc w:val="both"/>
        <w:rPr>
          <w:rFonts w:ascii="Calibri" w:hAnsi="Calibri" w:cs="Calibri"/>
          <w:kern w:val="0"/>
          <w:sz w:val="20"/>
          <w:szCs w:val="20"/>
          <w:lang w:val="en-GB"/>
        </w:rPr>
      </w:pPr>
    </w:p>
    <w:sectPr w:rsidR="00776D8B" w:rsidRPr="0016447B" w:rsidSect="00811534">
      <w:headerReference w:type="even" r:id="rId11"/>
      <w:headerReference w:type="default" r:id="rId12"/>
      <w:footerReference w:type="even" r:id="rId13"/>
      <w:footerReference w:type="default" r:id="rId14"/>
      <w:headerReference w:type="first" r:id="rId15"/>
      <w:footerReference w:type="first" r:id="rId1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E15A" w14:textId="77777777" w:rsidR="00887B2F" w:rsidRPr="0016447B" w:rsidRDefault="00887B2F" w:rsidP="00785DCE">
      <w:pPr>
        <w:rPr>
          <w:kern w:val="0"/>
          <w:lang w:val="en-GB"/>
        </w:rPr>
      </w:pPr>
      <w:r w:rsidRPr="0016447B">
        <w:rPr>
          <w:kern w:val="0"/>
          <w:lang w:val="en-GB"/>
        </w:rPr>
        <w:separator/>
      </w:r>
    </w:p>
  </w:endnote>
  <w:endnote w:type="continuationSeparator" w:id="0">
    <w:p w14:paraId="6139D2BC" w14:textId="77777777" w:rsidR="00887B2F" w:rsidRPr="0016447B" w:rsidRDefault="00887B2F" w:rsidP="00785DCE">
      <w:pPr>
        <w:rPr>
          <w:kern w:val="0"/>
          <w:lang w:val="en-GB"/>
        </w:rPr>
      </w:pPr>
      <w:r w:rsidRPr="0016447B">
        <w:rPr>
          <w:kern w:val="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A5C59" w14:textId="77777777" w:rsidR="00785DCE" w:rsidRPr="0016447B" w:rsidRDefault="00785DCE">
    <w:pPr>
      <w:pStyle w:val="Pidipagina"/>
      <w:rPr>
        <w:kern w:val="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33AA" w14:textId="77777777" w:rsidR="00785DCE" w:rsidRPr="0016447B" w:rsidRDefault="00785DCE">
    <w:pPr>
      <w:pStyle w:val="Pidipagina"/>
      <w:rPr>
        <w:kern w:val="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5CA1" w14:textId="77777777" w:rsidR="00785DCE" w:rsidRPr="0016447B" w:rsidRDefault="00785DCE">
    <w:pPr>
      <w:pStyle w:val="Pidipagina"/>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64942" w14:textId="77777777" w:rsidR="00887B2F" w:rsidRPr="0016447B" w:rsidRDefault="00887B2F" w:rsidP="00785DCE">
      <w:pPr>
        <w:rPr>
          <w:kern w:val="0"/>
          <w:lang w:val="en-GB"/>
        </w:rPr>
      </w:pPr>
      <w:r w:rsidRPr="0016447B">
        <w:rPr>
          <w:kern w:val="0"/>
          <w:lang w:val="en-GB"/>
        </w:rPr>
        <w:separator/>
      </w:r>
    </w:p>
  </w:footnote>
  <w:footnote w:type="continuationSeparator" w:id="0">
    <w:p w14:paraId="0AB599DE" w14:textId="77777777" w:rsidR="00887B2F" w:rsidRPr="0016447B" w:rsidRDefault="00887B2F" w:rsidP="00785DCE">
      <w:pPr>
        <w:rPr>
          <w:kern w:val="0"/>
          <w:lang w:val="en-GB"/>
        </w:rPr>
      </w:pPr>
      <w:r w:rsidRPr="0016447B">
        <w:rPr>
          <w:kern w:val="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5181" w14:textId="77777777" w:rsidR="00785DCE" w:rsidRPr="0016447B" w:rsidRDefault="00785DCE">
    <w:pPr>
      <w:pStyle w:val="Intestazione"/>
      <w:rPr>
        <w:kern w:val="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F4B5" w14:textId="77777777" w:rsidR="00785DCE" w:rsidRPr="0016447B" w:rsidRDefault="00785DCE">
    <w:pPr>
      <w:pStyle w:val="Intestazione"/>
      <w:rPr>
        <w:kern w:val="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F96B" w14:textId="77777777" w:rsidR="00785DCE" w:rsidRPr="0016447B" w:rsidRDefault="00785DCE">
    <w:pPr>
      <w:pStyle w:val="Intestazione"/>
      <w:rPr>
        <w:kern w:val="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8"/>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082"/>
    <w:rsid w:val="00100082"/>
    <w:rsid w:val="0016447B"/>
    <w:rsid w:val="001A5E9A"/>
    <w:rsid w:val="001D3FB6"/>
    <w:rsid w:val="00235AA0"/>
    <w:rsid w:val="00341F06"/>
    <w:rsid w:val="00471787"/>
    <w:rsid w:val="00776D8B"/>
    <w:rsid w:val="00785DCE"/>
    <w:rsid w:val="00795AA6"/>
    <w:rsid w:val="00802D54"/>
    <w:rsid w:val="00811534"/>
    <w:rsid w:val="00887B2F"/>
    <w:rsid w:val="00930644"/>
    <w:rsid w:val="00A6035B"/>
    <w:rsid w:val="00AD58C1"/>
    <w:rsid w:val="00C549BF"/>
    <w:rsid w:val="00CE0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6D4B6"/>
  <w15:chartTrackingRefBased/>
  <w15:docId w15:val="{FCCEB3D6-1E50-904F-A7F0-3DA82AC2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00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00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000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000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000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0008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0008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0008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0008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000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000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000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000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000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000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000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000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000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10008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000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0008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000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0008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00082"/>
    <w:rPr>
      <w:i/>
      <w:iCs/>
      <w:color w:val="404040" w:themeColor="text1" w:themeTint="BF"/>
    </w:rPr>
  </w:style>
  <w:style w:type="paragraph" w:styleId="Paragrafoelenco">
    <w:name w:val="List Paragraph"/>
    <w:basedOn w:val="Normale"/>
    <w:uiPriority w:val="34"/>
    <w:qFormat/>
    <w:rsid w:val="00100082"/>
    <w:pPr>
      <w:ind w:left="720"/>
      <w:contextualSpacing/>
    </w:pPr>
  </w:style>
  <w:style w:type="character" w:styleId="Enfasiintensa">
    <w:name w:val="Intense Emphasis"/>
    <w:basedOn w:val="Carpredefinitoparagrafo"/>
    <w:uiPriority w:val="21"/>
    <w:qFormat/>
    <w:rsid w:val="00100082"/>
    <w:rPr>
      <w:i/>
      <w:iCs/>
      <w:color w:val="0F4761" w:themeColor="accent1" w:themeShade="BF"/>
    </w:rPr>
  </w:style>
  <w:style w:type="paragraph" w:styleId="Citazioneintensa">
    <w:name w:val="Intense Quote"/>
    <w:basedOn w:val="Normale"/>
    <w:next w:val="Normale"/>
    <w:link w:val="CitazioneintensaCarattere"/>
    <w:uiPriority w:val="30"/>
    <w:qFormat/>
    <w:rsid w:val="00100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00082"/>
    <w:rPr>
      <w:i/>
      <w:iCs/>
      <w:color w:val="0F4761" w:themeColor="accent1" w:themeShade="BF"/>
    </w:rPr>
  </w:style>
  <w:style w:type="character" w:styleId="Riferimentointenso">
    <w:name w:val="Intense Reference"/>
    <w:basedOn w:val="Carpredefinitoparagrafo"/>
    <w:uiPriority w:val="32"/>
    <w:qFormat/>
    <w:rsid w:val="00100082"/>
    <w:rPr>
      <w:b/>
      <w:bCs/>
      <w:smallCaps/>
      <w:color w:val="0F4761" w:themeColor="accent1" w:themeShade="BF"/>
      <w:spacing w:val="5"/>
    </w:rPr>
  </w:style>
  <w:style w:type="paragraph" w:styleId="NormaleWeb">
    <w:name w:val="Normal (Web)"/>
    <w:basedOn w:val="Normale"/>
    <w:uiPriority w:val="99"/>
    <w:semiHidden/>
    <w:unhideWhenUsed/>
    <w:rsid w:val="0010008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100082"/>
    <w:rPr>
      <w:b/>
      <w:bCs/>
    </w:rPr>
  </w:style>
  <w:style w:type="character" w:styleId="Collegamentoipertestuale">
    <w:name w:val="Hyperlink"/>
    <w:basedOn w:val="Carpredefinitoparagrafo"/>
    <w:uiPriority w:val="99"/>
    <w:unhideWhenUsed/>
    <w:rsid w:val="00471787"/>
    <w:rPr>
      <w:color w:val="467886" w:themeColor="hyperlink"/>
      <w:u w:val="single"/>
    </w:rPr>
  </w:style>
  <w:style w:type="paragraph" w:styleId="Intestazione">
    <w:name w:val="header"/>
    <w:basedOn w:val="Normale"/>
    <w:link w:val="IntestazioneCarattere"/>
    <w:uiPriority w:val="99"/>
    <w:unhideWhenUsed/>
    <w:rsid w:val="00785DCE"/>
    <w:pPr>
      <w:tabs>
        <w:tab w:val="center" w:pos="4819"/>
        <w:tab w:val="right" w:pos="9638"/>
      </w:tabs>
    </w:pPr>
  </w:style>
  <w:style w:type="character" w:customStyle="1" w:styleId="IntestazioneCarattere">
    <w:name w:val="Intestazione Carattere"/>
    <w:basedOn w:val="Carpredefinitoparagrafo"/>
    <w:link w:val="Intestazione"/>
    <w:uiPriority w:val="99"/>
    <w:rsid w:val="00785DCE"/>
  </w:style>
  <w:style w:type="paragraph" w:styleId="Pidipagina">
    <w:name w:val="footer"/>
    <w:basedOn w:val="Normale"/>
    <w:link w:val="PidipaginaCarattere"/>
    <w:uiPriority w:val="99"/>
    <w:unhideWhenUsed/>
    <w:rsid w:val="00785DCE"/>
    <w:pPr>
      <w:tabs>
        <w:tab w:val="center" w:pos="4819"/>
        <w:tab w:val="right" w:pos="9638"/>
      </w:tabs>
    </w:pPr>
  </w:style>
  <w:style w:type="character" w:customStyle="1" w:styleId="PidipaginaCarattere">
    <w:name w:val="Piè di pagina Carattere"/>
    <w:basedOn w:val="Carpredefinitoparagrafo"/>
    <w:link w:val="Pidipagina"/>
    <w:uiPriority w:val="99"/>
    <w:rsid w:val="00785D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office@veronafiere.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initaly.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direzione@ispropress.it" TargetMode="External"/><Relationship Id="rId4" Type="http://schemas.openxmlformats.org/officeDocument/2006/relationships/footnotes" Target="footnotes.xml"/><Relationship Id="rId9" Type="http://schemas.openxmlformats.org/officeDocument/2006/relationships/hyperlink" Target="http://www.veronafiere.it"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lavinia.furlani@winemeridian.com</dc:creator>
  <cp:keywords/>
  <dc:description/>
  <cp:lastModifiedBy>Peter  Eustace - C.S.A.</cp:lastModifiedBy>
  <cp:revision>3</cp:revision>
  <dcterms:created xsi:type="dcterms:W3CDTF">2026-04-16T09:29:00Z</dcterms:created>
  <dcterms:modified xsi:type="dcterms:W3CDTF">2026-04-16T12:24:00Z</dcterms:modified>
</cp:coreProperties>
</file>